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C71EE1" w:rsidP="0012039B">
            <w:pPr>
              <w:widowControl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2" name="Рисунок 1" descr="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7F3006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B715E7" w:rsidRDefault="007F3006" w:rsidP="0012039B">
            <w:pPr>
              <w:pStyle w:val="3"/>
            </w:pPr>
            <w:r w:rsidRPr="00B715E7">
              <w:rPr>
                <w:sz w:val="28"/>
              </w:rPr>
              <w:t>П О С Т А Н О В Л Е Н И Е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  <w:vAlign w:val="center"/>
          </w:tcPr>
          <w:p w:rsidR="00426FF1" w:rsidRPr="0012039B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F2F09" w:rsidRDefault="00D3044A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:rsidTr="004D379D">
        <w:trPr>
          <w:jc w:val="center"/>
        </w:trPr>
        <w:tc>
          <w:tcPr>
            <w:tcW w:w="284" w:type="dxa"/>
            <w:vAlign w:val="bottom"/>
          </w:tcPr>
          <w:p w:rsidR="001E692E" w:rsidRDefault="001E692E" w:rsidP="004D37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E692E" w:rsidRDefault="002A0ABF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24 декабря 2020 г.</w:t>
            </w:r>
          </w:p>
        </w:tc>
        <w:tc>
          <w:tcPr>
            <w:tcW w:w="397" w:type="dxa"/>
            <w:vAlign w:val="bottom"/>
          </w:tcPr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692E" w:rsidRDefault="002A0ABF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924-пП</w:t>
            </w:r>
          </w:p>
        </w:tc>
      </w:tr>
      <w:tr w:rsidR="001E692E" w:rsidTr="004D379D">
        <w:trPr>
          <w:jc w:val="center"/>
        </w:trPr>
        <w:tc>
          <w:tcPr>
            <w:tcW w:w="4650" w:type="dxa"/>
            <w:gridSpan w:val="4"/>
          </w:tcPr>
          <w:p w:rsidR="001E692E" w:rsidRDefault="001E692E" w:rsidP="004D379D">
            <w:pPr>
              <w:widowControl/>
              <w:jc w:val="center"/>
              <w:rPr>
                <w:sz w:val="10"/>
              </w:rPr>
            </w:pPr>
          </w:p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BA5A70" w:rsidRDefault="00BA5A70">
      <w:pPr>
        <w:jc w:val="both"/>
        <w:rPr>
          <w:sz w:val="28"/>
        </w:rPr>
      </w:pPr>
    </w:p>
    <w:p w:rsidR="00146B14" w:rsidRDefault="00146B14" w:rsidP="00146B1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размера предельной стоимости </w:t>
      </w:r>
    </w:p>
    <w:p w:rsidR="00146B14" w:rsidRDefault="00146B14" w:rsidP="00146B1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услуг и (или) работ по капитальному ремонту общего имущества </w:t>
      </w:r>
    </w:p>
    <w:p w:rsidR="00146B14" w:rsidRPr="009676AF" w:rsidRDefault="00146B14" w:rsidP="00146B1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многоквартирном доме на территории Пензенской области на 2021 год,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</w:t>
      </w:r>
    </w:p>
    <w:p w:rsidR="00146B14" w:rsidRPr="0038351F" w:rsidRDefault="00146B14" w:rsidP="00146B14">
      <w:pPr>
        <w:widowControl/>
        <w:ind w:firstLine="708"/>
        <w:jc w:val="both"/>
        <w:rPr>
          <w:sz w:val="28"/>
          <w:szCs w:val="28"/>
        </w:rPr>
      </w:pPr>
    </w:p>
    <w:p w:rsidR="00146B14" w:rsidRPr="002A7A78" w:rsidRDefault="00146B14" w:rsidP="00146B14">
      <w:pPr>
        <w:widowControl/>
        <w:ind w:firstLine="708"/>
        <w:jc w:val="both"/>
        <w:rPr>
          <w:sz w:val="28"/>
          <w:szCs w:val="28"/>
        </w:rPr>
      </w:pPr>
      <w:r w:rsidRPr="0038351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частью 4 статьи 190 Жилищного кодекса Российской Федерации, статьей 3 </w:t>
      </w:r>
      <w:r w:rsidRPr="00146B14">
        <w:rPr>
          <w:rStyle w:val="a9"/>
          <w:b w:val="0"/>
          <w:bCs/>
          <w:color w:val="auto"/>
          <w:sz w:val="28"/>
          <w:szCs w:val="28"/>
        </w:rPr>
        <w:t>Закона</w:t>
      </w:r>
      <w:r w:rsidRPr="0038351F">
        <w:rPr>
          <w:sz w:val="28"/>
          <w:szCs w:val="28"/>
        </w:rPr>
        <w:t xml:space="preserve"> Пензенской области от 01.07.2013 № 2403-ЗПО</w:t>
      </w:r>
      <w:r>
        <w:rPr>
          <w:sz w:val="28"/>
          <w:szCs w:val="28"/>
        </w:rPr>
        <w:t xml:space="preserve">              </w:t>
      </w:r>
      <w:r w:rsidRPr="0038351F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38351F">
        <w:rPr>
          <w:sz w:val="28"/>
          <w:szCs w:val="28"/>
        </w:rPr>
        <w:t>Об организации проведения капитального ремонта общего имущества</w:t>
      </w:r>
      <w:r>
        <w:rPr>
          <w:sz w:val="28"/>
          <w:szCs w:val="28"/>
        </w:rPr>
        <w:t xml:space="preserve">                            </w:t>
      </w:r>
      <w:r w:rsidRPr="0038351F">
        <w:rPr>
          <w:sz w:val="28"/>
          <w:szCs w:val="28"/>
        </w:rPr>
        <w:t>в многоквартирных домах, расположенных на территории Пензенской области</w:t>
      </w:r>
      <w:r>
        <w:rPr>
          <w:sz w:val="28"/>
          <w:szCs w:val="28"/>
        </w:rPr>
        <w:t xml:space="preserve">"     </w:t>
      </w:r>
      <w:r w:rsidRPr="0038351F">
        <w:rPr>
          <w:sz w:val="28"/>
          <w:szCs w:val="28"/>
        </w:rPr>
        <w:t>(с последующими изменениями), руководствуясь Законом Пензенской области</w:t>
      </w:r>
      <w:r>
        <w:rPr>
          <w:sz w:val="28"/>
          <w:szCs w:val="28"/>
        </w:rPr>
        <w:t xml:space="preserve"> </w:t>
      </w:r>
      <w:r w:rsidRPr="00146B14">
        <w:rPr>
          <w:spacing w:val="-8"/>
          <w:sz w:val="28"/>
          <w:szCs w:val="28"/>
        </w:rPr>
        <w:t>от 22.12.2005 № 906-ЗПО "О Правительстве Пензенской области" (с последующими</w:t>
      </w:r>
      <w:r w:rsidRPr="0038351F">
        <w:rPr>
          <w:sz w:val="28"/>
          <w:szCs w:val="28"/>
        </w:rPr>
        <w:t xml:space="preserve"> изменениями), Правительство Пензенской области</w:t>
      </w:r>
      <w:r>
        <w:rPr>
          <w:sz w:val="28"/>
          <w:szCs w:val="28"/>
        </w:rPr>
        <w:t xml:space="preserve"> </w:t>
      </w:r>
      <w:r w:rsidRPr="00B6428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B6428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B6428C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B6428C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B6428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B6428C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B6428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B6428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B6428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B6428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B6428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B6428C">
        <w:rPr>
          <w:b/>
          <w:sz w:val="28"/>
          <w:szCs w:val="28"/>
        </w:rPr>
        <w:t>т</w:t>
      </w:r>
      <w:r w:rsidRPr="00146B14">
        <w:rPr>
          <w:b/>
          <w:sz w:val="28"/>
          <w:szCs w:val="28"/>
        </w:rPr>
        <w:t>:</w:t>
      </w:r>
    </w:p>
    <w:p w:rsidR="00146B14" w:rsidRDefault="00146B14" w:rsidP="00146B14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размер предельной стоимости услуг и (или) работ                             </w:t>
      </w:r>
      <w:r w:rsidRPr="00926724">
        <w:rPr>
          <w:sz w:val="28"/>
          <w:szCs w:val="28"/>
        </w:rPr>
        <w:t xml:space="preserve">по капитальному ремонту общего имущества в многоквартирном доме </w:t>
      </w:r>
      <w:r>
        <w:rPr>
          <w:sz w:val="28"/>
          <w:szCs w:val="28"/>
        </w:rPr>
        <w:t xml:space="preserve">                           </w:t>
      </w:r>
      <w:r w:rsidRPr="00926724">
        <w:rPr>
          <w:sz w:val="28"/>
          <w:szCs w:val="28"/>
        </w:rPr>
        <w:t>на территории Пензенской области на 20</w:t>
      </w:r>
      <w:r>
        <w:rPr>
          <w:sz w:val="28"/>
          <w:szCs w:val="28"/>
        </w:rPr>
        <w:t>21</w:t>
      </w:r>
      <w:r w:rsidRPr="00926724">
        <w:rPr>
          <w:sz w:val="28"/>
          <w:szCs w:val="28"/>
        </w:rPr>
        <w:t xml:space="preserve"> год,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</w:t>
      </w:r>
      <w:r>
        <w:rPr>
          <w:sz w:val="28"/>
          <w:szCs w:val="28"/>
        </w:rPr>
        <w:t>, согласно приложению.</w:t>
      </w:r>
    </w:p>
    <w:p w:rsidR="00146B14" w:rsidRDefault="00146B14" w:rsidP="00146B14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1 января 2021 года.</w:t>
      </w:r>
    </w:p>
    <w:p w:rsidR="00146B14" w:rsidRPr="002F6E54" w:rsidRDefault="00146B14" w:rsidP="00146B14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F6E54">
        <w:rPr>
          <w:sz w:val="28"/>
          <w:szCs w:val="28"/>
        </w:rPr>
        <w:t xml:space="preserve">. </w:t>
      </w:r>
      <w:r w:rsidR="003D4A5A" w:rsidRPr="00295F30">
        <w:rPr>
          <w:color w:val="000000"/>
          <w:spacing w:val="-10"/>
          <w:sz w:val="28"/>
          <w:szCs w:val="28"/>
        </w:rPr>
        <w:t xml:space="preserve">Настоящее постановление опубликовать в газете </w:t>
      </w:r>
      <w:r w:rsidR="003D4A5A">
        <w:rPr>
          <w:color w:val="000000"/>
          <w:spacing w:val="-10"/>
          <w:sz w:val="28"/>
          <w:szCs w:val="28"/>
        </w:rPr>
        <w:t>"</w:t>
      </w:r>
      <w:r w:rsidR="003D4A5A" w:rsidRPr="00295F30">
        <w:rPr>
          <w:color w:val="000000"/>
          <w:spacing w:val="-10"/>
          <w:sz w:val="28"/>
          <w:szCs w:val="28"/>
        </w:rPr>
        <w:t>Пензенские губернские</w:t>
      </w:r>
      <w:r w:rsidR="003D4A5A" w:rsidRPr="00295F30">
        <w:rPr>
          <w:color w:val="000000"/>
          <w:sz w:val="28"/>
          <w:szCs w:val="28"/>
        </w:rPr>
        <w:t xml:space="preserve"> ведомости</w:t>
      </w:r>
      <w:r w:rsidR="003D4A5A">
        <w:rPr>
          <w:color w:val="000000"/>
          <w:sz w:val="28"/>
          <w:szCs w:val="28"/>
        </w:rPr>
        <w:t>"</w:t>
      </w:r>
      <w:r w:rsidR="003D4A5A" w:rsidRPr="00295F30">
        <w:rPr>
          <w:color w:val="000000"/>
          <w:sz w:val="28"/>
          <w:szCs w:val="28"/>
        </w:rPr>
        <w:t xml:space="preserve"> и разместить (опубликовать) на </w:t>
      </w:r>
      <w:r w:rsidR="003D4A5A">
        <w:rPr>
          <w:color w:val="000000"/>
          <w:sz w:val="28"/>
          <w:szCs w:val="28"/>
        </w:rPr>
        <w:t>"</w:t>
      </w:r>
      <w:r w:rsidR="003D4A5A" w:rsidRPr="00295F30">
        <w:rPr>
          <w:color w:val="000000"/>
          <w:sz w:val="28"/>
          <w:szCs w:val="28"/>
        </w:rPr>
        <w:t xml:space="preserve">Официальном интернет-портале </w:t>
      </w:r>
      <w:r w:rsidR="003D4A5A" w:rsidRPr="00295F30">
        <w:rPr>
          <w:color w:val="000000"/>
          <w:spacing w:val="-10"/>
          <w:sz w:val="28"/>
          <w:szCs w:val="28"/>
        </w:rPr>
        <w:t>правовой информации</w:t>
      </w:r>
      <w:r w:rsidR="003D4A5A">
        <w:rPr>
          <w:color w:val="000000"/>
          <w:spacing w:val="-10"/>
          <w:sz w:val="28"/>
          <w:szCs w:val="28"/>
        </w:rPr>
        <w:t>"</w:t>
      </w:r>
      <w:r w:rsidR="003D4A5A" w:rsidRPr="00295F30">
        <w:rPr>
          <w:color w:val="000000"/>
          <w:spacing w:val="-10"/>
          <w:sz w:val="28"/>
          <w:szCs w:val="28"/>
        </w:rPr>
        <w:t xml:space="preserve"> (www.pravo.gov.ru) и на официальном сайте Правительства</w:t>
      </w:r>
      <w:r w:rsidR="003D4A5A" w:rsidRPr="00295F30">
        <w:rPr>
          <w:color w:val="000000"/>
          <w:sz w:val="28"/>
          <w:szCs w:val="28"/>
        </w:rPr>
        <w:t xml:space="preserve"> </w:t>
      </w:r>
      <w:r w:rsidR="003D4A5A" w:rsidRPr="00295F30">
        <w:rPr>
          <w:color w:val="000000"/>
          <w:spacing w:val="-6"/>
          <w:sz w:val="28"/>
          <w:szCs w:val="28"/>
        </w:rPr>
        <w:t xml:space="preserve">Пензенской области в информационно-телекоммуникационной сети </w:t>
      </w:r>
      <w:r w:rsidR="003D4A5A">
        <w:rPr>
          <w:color w:val="000000"/>
          <w:spacing w:val="-6"/>
          <w:sz w:val="28"/>
          <w:szCs w:val="28"/>
        </w:rPr>
        <w:t>"</w:t>
      </w:r>
      <w:r w:rsidR="003D4A5A" w:rsidRPr="00295F30">
        <w:rPr>
          <w:color w:val="000000"/>
          <w:spacing w:val="-6"/>
          <w:sz w:val="28"/>
          <w:szCs w:val="28"/>
        </w:rPr>
        <w:t>Интернет</w:t>
      </w:r>
      <w:r w:rsidR="003D4A5A">
        <w:rPr>
          <w:color w:val="000000"/>
          <w:spacing w:val="-6"/>
          <w:sz w:val="28"/>
          <w:szCs w:val="28"/>
        </w:rPr>
        <w:t>"</w:t>
      </w:r>
      <w:r w:rsidR="003D4A5A" w:rsidRPr="00295F30">
        <w:rPr>
          <w:color w:val="000000"/>
          <w:spacing w:val="-6"/>
          <w:sz w:val="28"/>
          <w:szCs w:val="28"/>
        </w:rPr>
        <w:t>.</w:t>
      </w:r>
    </w:p>
    <w:p w:rsidR="00146B14" w:rsidRDefault="00146B14" w:rsidP="00146B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F6E54">
        <w:rPr>
          <w:sz w:val="28"/>
          <w:szCs w:val="28"/>
        </w:rPr>
        <w:t xml:space="preserve">. Контроль за исполнением настоящего постановления возложить                           </w:t>
      </w:r>
      <w:r w:rsidRPr="0052772D">
        <w:rPr>
          <w:spacing w:val="-8"/>
          <w:sz w:val="28"/>
          <w:szCs w:val="28"/>
        </w:rPr>
        <w:t>на заместителя Председателя Правительства Пензенской области, координирующего</w:t>
      </w:r>
      <w:r w:rsidRPr="002F6E54">
        <w:rPr>
          <w:sz w:val="28"/>
          <w:szCs w:val="28"/>
        </w:rPr>
        <w:t xml:space="preserve"> вопросы формирования и реализации государственной политики в области жилищно-коммунального хозяйства.</w:t>
      </w:r>
    </w:p>
    <w:p w:rsidR="00426FF1" w:rsidRDefault="00426FF1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7194"/>
      </w:tblGrid>
      <w:tr w:rsidR="00426FF1" w:rsidTr="00DD74B0">
        <w:tc>
          <w:tcPr>
            <w:tcW w:w="2660" w:type="dxa"/>
          </w:tcPr>
          <w:p w:rsidR="00426FF1" w:rsidRDefault="00426FF1" w:rsidP="006F4247">
            <w:pPr>
              <w:pStyle w:val="4"/>
            </w:pPr>
            <w:r>
              <w:t>Губернатор</w:t>
            </w:r>
            <w:r w:rsidR="006F4247">
              <w:br/>
            </w:r>
            <w:r>
              <w:t>Пензенской области</w:t>
            </w:r>
          </w:p>
        </w:tc>
        <w:tc>
          <w:tcPr>
            <w:tcW w:w="7194" w:type="dxa"/>
          </w:tcPr>
          <w:p w:rsidR="00426FF1" w:rsidRDefault="00426FF1">
            <w:pPr>
              <w:jc w:val="right"/>
              <w:rPr>
                <w:sz w:val="28"/>
              </w:rPr>
            </w:pPr>
          </w:p>
          <w:p w:rsidR="00426FF1" w:rsidRDefault="002A0ABF" w:rsidP="002A0ABF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3F4EA4">
              <w:rPr>
                <w:sz w:val="28"/>
              </w:rPr>
              <w:t>И.А. Белозерцев</w:t>
            </w:r>
          </w:p>
        </w:tc>
      </w:tr>
    </w:tbl>
    <w:p w:rsidR="003D4A5A" w:rsidRDefault="003D4A5A">
      <w:pPr>
        <w:jc w:val="both"/>
        <w:rPr>
          <w:sz w:val="28"/>
        </w:rPr>
        <w:sectPr w:rsidR="003D4A5A" w:rsidSect="00DD74B0">
          <w:headerReference w:type="default" r:id="rId7"/>
          <w:footerReference w:type="default" r:id="rId8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p w:rsidR="003D4A5A" w:rsidRPr="003D4A5A" w:rsidRDefault="003D4A5A" w:rsidP="0052772D">
      <w:pPr>
        <w:widowControl/>
        <w:spacing w:line="221" w:lineRule="auto"/>
        <w:ind w:left="9072"/>
        <w:jc w:val="center"/>
        <w:rPr>
          <w:color w:val="000000"/>
          <w:sz w:val="24"/>
          <w:szCs w:val="24"/>
        </w:rPr>
      </w:pPr>
      <w:r w:rsidRPr="003D4A5A">
        <w:rPr>
          <w:color w:val="000000"/>
          <w:sz w:val="24"/>
          <w:szCs w:val="24"/>
        </w:rPr>
        <w:lastRenderedPageBreak/>
        <w:t xml:space="preserve">Приложение </w:t>
      </w:r>
      <w:r>
        <w:rPr>
          <w:color w:val="000000"/>
          <w:sz w:val="24"/>
          <w:szCs w:val="24"/>
        </w:rPr>
        <w:br/>
      </w:r>
      <w:r w:rsidRPr="003D4A5A">
        <w:rPr>
          <w:color w:val="000000"/>
          <w:sz w:val="24"/>
          <w:szCs w:val="24"/>
        </w:rPr>
        <w:t>к постановлению</w:t>
      </w:r>
      <w:r>
        <w:rPr>
          <w:color w:val="000000"/>
          <w:sz w:val="24"/>
          <w:szCs w:val="24"/>
        </w:rPr>
        <w:t xml:space="preserve"> </w:t>
      </w:r>
      <w:r w:rsidRPr="003D4A5A">
        <w:rPr>
          <w:color w:val="000000"/>
          <w:sz w:val="24"/>
          <w:szCs w:val="24"/>
        </w:rPr>
        <w:t xml:space="preserve">Правительства </w:t>
      </w:r>
      <w:r>
        <w:rPr>
          <w:color w:val="000000"/>
          <w:sz w:val="24"/>
          <w:szCs w:val="24"/>
        </w:rPr>
        <w:br/>
      </w:r>
      <w:r w:rsidRPr="003D4A5A">
        <w:rPr>
          <w:color w:val="000000"/>
          <w:sz w:val="24"/>
          <w:szCs w:val="24"/>
        </w:rPr>
        <w:t>Пензенской области</w:t>
      </w:r>
    </w:p>
    <w:p w:rsidR="00426FF1" w:rsidRPr="003D4A5A" w:rsidRDefault="003D4A5A" w:rsidP="0052772D">
      <w:pPr>
        <w:spacing w:line="221" w:lineRule="auto"/>
        <w:ind w:left="907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2A0ABF">
        <w:rPr>
          <w:color w:val="000000"/>
          <w:sz w:val="24"/>
          <w:szCs w:val="24"/>
        </w:rPr>
        <w:t>24.12.2020</w:t>
      </w:r>
      <w:r>
        <w:rPr>
          <w:color w:val="000000"/>
          <w:sz w:val="24"/>
          <w:szCs w:val="24"/>
        </w:rPr>
        <w:t xml:space="preserve">  </w:t>
      </w:r>
      <w:r w:rsidRPr="003D4A5A">
        <w:rPr>
          <w:color w:val="000000"/>
          <w:sz w:val="24"/>
          <w:szCs w:val="24"/>
        </w:rPr>
        <w:t>№</w:t>
      </w:r>
      <w:r w:rsidR="002A0ABF">
        <w:rPr>
          <w:color w:val="000000"/>
          <w:sz w:val="24"/>
          <w:szCs w:val="24"/>
        </w:rPr>
        <w:t xml:space="preserve"> 924-пП</w:t>
      </w:r>
    </w:p>
    <w:p w:rsidR="003D4A5A" w:rsidRDefault="003D4A5A" w:rsidP="0052772D">
      <w:pPr>
        <w:widowControl/>
        <w:spacing w:line="221" w:lineRule="auto"/>
        <w:jc w:val="center"/>
        <w:rPr>
          <w:b/>
          <w:sz w:val="24"/>
          <w:szCs w:val="24"/>
        </w:rPr>
      </w:pPr>
    </w:p>
    <w:p w:rsidR="003D4A5A" w:rsidRPr="003D4A5A" w:rsidRDefault="003D4A5A" w:rsidP="0052772D">
      <w:pPr>
        <w:widowControl/>
        <w:spacing w:line="221" w:lineRule="auto"/>
        <w:jc w:val="center"/>
        <w:rPr>
          <w:b/>
          <w:bCs/>
          <w:color w:val="000000"/>
          <w:sz w:val="24"/>
          <w:szCs w:val="24"/>
        </w:rPr>
      </w:pPr>
      <w:r w:rsidRPr="003D4A5A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 xml:space="preserve"> </w:t>
      </w:r>
      <w:r w:rsidRPr="003D4A5A"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z w:val="24"/>
          <w:szCs w:val="24"/>
        </w:rPr>
        <w:t xml:space="preserve"> </w:t>
      </w:r>
      <w:r w:rsidRPr="003D4A5A">
        <w:rPr>
          <w:b/>
          <w:bCs/>
          <w:color w:val="000000"/>
          <w:sz w:val="24"/>
          <w:szCs w:val="24"/>
        </w:rPr>
        <w:t>З</w:t>
      </w:r>
      <w:r>
        <w:rPr>
          <w:b/>
          <w:bCs/>
          <w:color w:val="000000"/>
          <w:sz w:val="24"/>
          <w:szCs w:val="24"/>
        </w:rPr>
        <w:t xml:space="preserve"> </w:t>
      </w:r>
      <w:r w:rsidRPr="003D4A5A">
        <w:rPr>
          <w:b/>
          <w:bCs/>
          <w:color w:val="000000"/>
          <w:sz w:val="24"/>
          <w:szCs w:val="24"/>
        </w:rPr>
        <w:t>М</w:t>
      </w:r>
      <w:r>
        <w:rPr>
          <w:b/>
          <w:bCs/>
          <w:color w:val="000000"/>
          <w:sz w:val="24"/>
          <w:szCs w:val="24"/>
        </w:rPr>
        <w:t xml:space="preserve"> </w:t>
      </w:r>
      <w:r w:rsidRPr="003D4A5A"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sz w:val="24"/>
          <w:szCs w:val="24"/>
        </w:rPr>
        <w:t xml:space="preserve"> </w:t>
      </w:r>
      <w:r w:rsidRPr="003D4A5A">
        <w:rPr>
          <w:b/>
          <w:bCs/>
          <w:color w:val="000000"/>
          <w:sz w:val="24"/>
          <w:szCs w:val="24"/>
        </w:rPr>
        <w:t xml:space="preserve">Р </w:t>
      </w:r>
    </w:p>
    <w:p w:rsidR="003D4A5A" w:rsidRPr="003D4A5A" w:rsidRDefault="003D4A5A" w:rsidP="0052772D">
      <w:pPr>
        <w:widowControl/>
        <w:spacing w:line="221" w:lineRule="auto"/>
        <w:jc w:val="center"/>
        <w:rPr>
          <w:b/>
          <w:bCs/>
          <w:color w:val="000000"/>
          <w:sz w:val="24"/>
          <w:szCs w:val="24"/>
        </w:rPr>
      </w:pPr>
      <w:r w:rsidRPr="003D4A5A">
        <w:rPr>
          <w:b/>
          <w:bCs/>
          <w:color w:val="000000"/>
          <w:sz w:val="24"/>
          <w:szCs w:val="24"/>
        </w:rPr>
        <w:t xml:space="preserve">предельной стоимости услуг и (или) работ по капитальному ремонту общего имущества </w:t>
      </w:r>
    </w:p>
    <w:p w:rsidR="003D4A5A" w:rsidRPr="003D4A5A" w:rsidRDefault="003D4A5A" w:rsidP="0052772D">
      <w:pPr>
        <w:widowControl/>
        <w:spacing w:line="221" w:lineRule="auto"/>
        <w:jc w:val="center"/>
        <w:rPr>
          <w:b/>
          <w:bCs/>
          <w:color w:val="000000"/>
          <w:sz w:val="24"/>
          <w:szCs w:val="24"/>
        </w:rPr>
      </w:pPr>
      <w:r w:rsidRPr="003D4A5A">
        <w:rPr>
          <w:b/>
          <w:bCs/>
          <w:color w:val="000000"/>
          <w:sz w:val="24"/>
          <w:szCs w:val="24"/>
        </w:rPr>
        <w:t xml:space="preserve">в многоквартирном доме на территории Пензенской области на 2021 год, которая может оплачиваться региональным оператором </w:t>
      </w:r>
      <w:r>
        <w:rPr>
          <w:b/>
          <w:bCs/>
          <w:color w:val="000000"/>
          <w:sz w:val="24"/>
          <w:szCs w:val="24"/>
        </w:rPr>
        <w:br/>
      </w:r>
      <w:r w:rsidRPr="003D4A5A">
        <w:rPr>
          <w:b/>
          <w:bCs/>
          <w:color w:val="000000"/>
          <w:sz w:val="24"/>
          <w:szCs w:val="24"/>
        </w:rPr>
        <w:t xml:space="preserve">за счет средств фонда капитального ремонта, сформированного исходя из минимального размера взноса </w:t>
      </w:r>
    </w:p>
    <w:p w:rsidR="003D4A5A" w:rsidRPr="003D4A5A" w:rsidRDefault="003D4A5A" w:rsidP="0052772D">
      <w:pPr>
        <w:widowControl/>
        <w:spacing w:line="221" w:lineRule="auto"/>
        <w:jc w:val="center"/>
        <w:rPr>
          <w:b/>
          <w:bCs/>
          <w:color w:val="000000"/>
          <w:sz w:val="24"/>
          <w:szCs w:val="24"/>
        </w:rPr>
      </w:pPr>
      <w:r w:rsidRPr="003D4A5A">
        <w:rPr>
          <w:b/>
          <w:bCs/>
          <w:color w:val="000000"/>
          <w:sz w:val="24"/>
          <w:szCs w:val="24"/>
        </w:rPr>
        <w:t>на капитальный ремонт</w:t>
      </w:r>
    </w:p>
    <w:p w:rsidR="003D4A5A" w:rsidRDefault="003D4A5A" w:rsidP="0052772D">
      <w:pPr>
        <w:spacing w:line="221" w:lineRule="auto"/>
        <w:rPr>
          <w:sz w:val="28"/>
        </w:rPr>
      </w:pPr>
    </w:p>
    <w:tbl>
      <w:tblPr>
        <w:tblStyle w:val="ab"/>
        <w:tblW w:w="157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018"/>
        <w:gridCol w:w="2268"/>
        <w:gridCol w:w="2240"/>
        <w:gridCol w:w="2240"/>
        <w:gridCol w:w="2149"/>
        <w:gridCol w:w="1701"/>
      </w:tblGrid>
      <w:tr w:rsidR="003D4A5A" w:rsidRPr="00B44AB2" w:rsidTr="003D4A5A">
        <w:trPr>
          <w:trHeight w:val="20"/>
        </w:trPr>
        <w:tc>
          <w:tcPr>
            <w:tcW w:w="704" w:type="dxa"/>
            <w:vMerge w:val="restart"/>
            <w:hideMark/>
          </w:tcPr>
          <w:p w:rsidR="003D4A5A" w:rsidRPr="00113EB6" w:rsidRDefault="003D4A5A" w:rsidP="0052772D">
            <w:pPr>
              <w:widowControl/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13EB6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hideMark/>
          </w:tcPr>
          <w:p w:rsidR="003D4A5A" w:rsidRPr="00113EB6" w:rsidRDefault="003D4A5A" w:rsidP="0052772D">
            <w:pPr>
              <w:widowControl/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13EB6">
              <w:rPr>
                <w:bCs/>
                <w:color w:val="000000"/>
                <w:sz w:val="24"/>
                <w:szCs w:val="24"/>
              </w:rPr>
              <w:t>Наименование услуг и (или) работ по капитальному ремонту</w:t>
            </w:r>
          </w:p>
        </w:tc>
        <w:tc>
          <w:tcPr>
            <w:tcW w:w="2018" w:type="dxa"/>
            <w:vMerge w:val="restart"/>
            <w:hideMark/>
          </w:tcPr>
          <w:p w:rsidR="003D4A5A" w:rsidRPr="00113EB6" w:rsidRDefault="003D4A5A" w:rsidP="0052772D">
            <w:pPr>
              <w:widowControl/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113EB6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0598" w:type="dxa"/>
            <w:gridSpan w:val="5"/>
            <w:hideMark/>
          </w:tcPr>
          <w:p w:rsidR="003D4A5A" w:rsidRPr="00113EB6" w:rsidRDefault="003D4A5A" w:rsidP="0052772D">
            <w:pPr>
              <w:widowControl/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113EB6">
              <w:rPr>
                <w:bCs/>
                <w:sz w:val="24"/>
                <w:szCs w:val="24"/>
              </w:rPr>
              <w:t>Размер предельной стоимости в многоквартирных домах типа:</w:t>
            </w: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vMerge/>
            <w:hideMark/>
          </w:tcPr>
          <w:p w:rsidR="003D4A5A" w:rsidRPr="00113EB6" w:rsidRDefault="003D4A5A" w:rsidP="0052772D">
            <w:pPr>
              <w:widowControl/>
              <w:spacing w:line="221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3D4A5A" w:rsidRPr="00113EB6" w:rsidRDefault="003D4A5A" w:rsidP="0052772D">
            <w:pPr>
              <w:widowControl/>
              <w:spacing w:line="221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3D4A5A" w:rsidRPr="00113EB6" w:rsidRDefault="003D4A5A" w:rsidP="0052772D">
            <w:pPr>
              <w:widowControl/>
              <w:spacing w:line="221" w:lineRule="auto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3D4A5A" w:rsidRPr="00113EB6" w:rsidRDefault="003D4A5A" w:rsidP="0052772D">
            <w:pPr>
              <w:widowControl/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113EB6">
              <w:rPr>
                <w:bCs/>
                <w:sz w:val="24"/>
                <w:szCs w:val="24"/>
              </w:rPr>
              <w:t>"дореволюци</w:t>
            </w:r>
            <w:r>
              <w:rPr>
                <w:bCs/>
                <w:sz w:val="24"/>
                <w:szCs w:val="24"/>
              </w:rPr>
              <w:t>о</w:t>
            </w:r>
            <w:r w:rsidRPr="00113EB6">
              <w:rPr>
                <w:bCs/>
                <w:sz w:val="24"/>
                <w:szCs w:val="24"/>
              </w:rPr>
              <w:t>нной постройки",</w:t>
            </w:r>
          </w:p>
          <w:p w:rsidR="003D4A5A" w:rsidRPr="00113EB6" w:rsidRDefault="003D4A5A" w:rsidP="0052772D">
            <w:pPr>
              <w:widowControl/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113EB6">
              <w:rPr>
                <w:bCs/>
                <w:sz w:val="24"/>
                <w:szCs w:val="24"/>
              </w:rPr>
              <w:t>включая многоквартирные дома, являющиеся объектами культурного наследия, выявленными объектами культурного наследия</w:t>
            </w:r>
          </w:p>
        </w:tc>
        <w:tc>
          <w:tcPr>
            <w:tcW w:w="2240" w:type="dxa"/>
            <w:hideMark/>
          </w:tcPr>
          <w:p w:rsidR="003D4A5A" w:rsidRPr="00113EB6" w:rsidRDefault="003D4A5A" w:rsidP="0052772D">
            <w:pPr>
              <w:widowControl/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13EB6">
              <w:rPr>
                <w:bCs/>
                <w:color w:val="000000"/>
                <w:sz w:val="24"/>
                <w:szCs w:val="24"/>
              </w:rPr>
              <w:t>"конструктивизм" и "сталинские"</w:t>
            </w:r>
          </w:p>
        </w:tc>
        <w:tc>
          <w:tcPr>
            <w:tcW w:w="2240" w:type="dxa"/>
            <w:hideMark/>
          </w:tcPr>
          <w:p w:rsidR="003D4A5A" w:rsidRPr="00113EB6" w:rsidRDefault="003D4A5A" w:rsidP="0052772D">
            <w:pPr>
              <w:widowControl/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13EB6">
              <w:rPr>
                <w:bCs/>
                <w:color w:val="000000"/>
                <w:sz w:val="24"/>
                <w:szCs w:val="24"/>
              </w:rPr>
              <w:t>"хрущевки" кирпичные и панельные</w:t>
            </w:r>
            <w:r>
              <w:rPr>
                <w:bCs/>
                <w:color w:val="000000"/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"кирпичные и панельные постройки 1970 - 1980 гг."</w:t>
            </w:r>
          </w:p>
        </w:tc>
        <w:tc>
          <w:tcPr>
            <w:tcW w:w="2149" w:type="dxa"/>
            <w:hideMark/>
          </w:tcPr>
          <w:p w:rsidR="003D4A5A" w:rsidRPr="00113EB6" w:rsidRDefault="003D4A5A" w:rsidP="0052772D">
            <w:pPr>
              <w:widowControl/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13EB6">
              <w:rPr>
                <w:bCs/>
                <w:color w:val="000000"/>
                <w:sz w:val="24"/>
                <w:szCs w:val="24"/>
              </w:rPr>
              <w:t xml:space="preserve">кирпичные и панельные "новое строительство </w:t>
            </w:r>
            <w:r>
              <w:rPr>
                <w:bCs/>
                <w:color w:val="000000"/>
                <w:sz w:val="24"/>
                <w:szCs w:val="24"/>
              </w:rPr>
              <w:t xml:space="preserve">до </w:t>
            </w:r>
            <w:r w:rsidRPr="00113EB6">
              <w:rPr>
                <w:bCs/>
                <w:color w:val="000000"/>
                <w:sz w:val="24"/>
                <w:szCs w:val="24"/>
              </w:rPr>
              <w:t xml:space="preserve">10 этажей" </w:t>
            </w:r>
          </w:p>
        </w:tc>
        <w:tc>
          <w:tcPr>
            <w:tcW w:w="1701" w:type="dxa"/>
            <w:hideMark/>
          </w:tcPr>
          <w:p w:rsidR="003D4A5A" w:rsidRPr="00113EB6" w:rsidRDefault="003D4A5A" w:rsidP="0052772D">
            <w:pPr>
              <w:widowControl/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113EB6">
              <w:rPr>
                <w:bCs/>
                <w:color w:val="000000"/>
                <w:sz w:val="24"/>
                <w:szCs w:val="24"/>
              </w:rPr>
              <w:t>кирпичные и панельные "новое строительство 1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  <w:r w:rsidRPr="00113EB6">
              <w:rPr>
                <w:bCs/>
                <w:color w:val="000000"/>
                <w:sz w:val="24"/>
                <w:szCs w:val="24"/>
              </w:rPr>
              <w:t xml:space="preserve"> этажей и выше" </w:t>
            </w:r>
          </w:p>
        </w:tc>
      </w:tr>
    </w:tbl>
    <w:p w:rsidR="003D4A5A" w:rsidRPr="003D4A5A" w:rsidRDefault="003D4A5A" w:rsidP="0052772D">
      <w:pPr>
        <w:spacing w:line="221" w:lineRule="auto"/>
        <w:rPr>
          <w:sz w:val="4"/>
          <w:szCs w:val="4"/>
        </w:rPr>
      </w:pPr>
    </w:p>
    <w:tbl>
      <w:tblPr>
        <w:tblStyle w:val="ab"/>
        <w:tblW w:w="157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018"/>
        <w:gridCol w:w="2268"/>
        <w:gridCol w:w="2240"/>
        <w:gridCol w:w="2240"/>
        <w:gridCol w:w="2149"/>
        <w:gridCol w:w="1701"/>
      </w:tblGrid>
      <w:tr w:rsidR="003D4A5A" w:rsidRPr="00B44AB2" w:rsidTr="003D4A5A">
        <w:trPr>
          <w:trHeight w:val="20"/>
          <w:tblHeader/>
        </w:trPr>
        <w:tc>
          <w:tcPr>
            <w:tcW w:w="704" w:type="dxa"/>
          </w:tcPr>
          <w:p w:rsidR="003D4A5A" w:rsidRPr="00113EB6" w:rsidRDefault="003D4A5A" w:rsidP="0052772D">
            <w:pPr>
              <w:widowControl/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D4A5A" w:rsidRPr="00113EB6" w:rsidRDefault="003D4A5A" w:rsidP="0052772D">
            <w:pPr>
              <w:widowControl/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8" w:type="dxa"/>
          </w:tcPr>
          <w:p w:rsidR="003D4A5A" w:rsidRPr="00113EB6" w:rsidRDefault="003D4A5A" w:rsidP="0052772D">
            <w:pPr>
              <w:widowControl/>
              <w:spacing w:line="221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D4A5A" w:rsidRPr="00113EB6" w:rsidRDefault="003D4A5A" w:rsidP="0052772D">
            <w:pPr>
              <w:widowControl/>
              <w:spacing w:line="221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40" w:type="dxa"/>
          </w:tcPr>
          <w:p w:rsidR="003D4A5A" w:rsidRPr="00113EB6" w:rsidRDefault="003D4A5A" w:rsidP="0052772D">
            <w:pPr>
              <w:widowControl/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0" w:type="dxa"/>
          </w:tcPr>
          <w:p w:rsidR="003D4A5A" w:rsidRPr="00113EB6" w:rsidRDefault="003D4A5A" w:rsidP="0052772D">
            <w:pPr>
              <w:widowControl/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9" w:type="dxa"/>
          </w:tcPr>
          <w:p w:rsidR="003D4A5A" w:rsidRPr="00113EB6" w:rsidRDefault="003D4A5A" w:rsidP="0052772D">
            <w:pPr>
              <w:widowControl/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D4A5A" w:rsidRPr="00113EB6" w:rsidRDefault="003D4A5A" w:rsidP="0052772D">
            <w:pPr>
              <w:widowControl/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hideMark/>
          </w:tcPr>
          <w:p w:rsidR="003D4A5A" w:rsidRPr="00AD7C91" w:rsidRDefault="003D4A5A" w:rsidP="0052772D">
            <w:pPr>
              <w:widowControl/>
              <w:spacing w:line="221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AD7C91">
              <w:rPr>
                <w:bCs/>
                <w:color w:val="000000"/>
                <w:sz w:val="24"/>
                <w:szCs w:val="24"/>
              </w:rPr>
              <w:t>Ремонт внутридомовых инженерных систем:</w:t>
            </w:r>
          </w:p>
        </w:tc>
        <w:tc>
          <w:tcPr>
            <w:tcW w:w="2018" w:type="dxa"/>
            <w:noWrap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9" w:type="dxa"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10" w:type="dxa"/>
            <w:hideMark/>
          </w:tcPr>
          <w:p w:rsidR="003D4A5A" w:rsidRPr="00AD7C91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D7C91">
              <w:rPr>
                <w:color w:val="000000"/>
                <w:sz w:val="24"/>
                <w:szCs w:val="24"/>
              </w:rPr>
              <w:t>электроснабжения</w:t>
            </w:r>
          </w:p>
        </w:tc>
        <w:tc>
          <w:tcPr>
            <w:tcW w:w="2018" w:type="dxa"/>
            <w:hideMark/>
          </w:tcPr>
          <w:p w:rsidR="008F6268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руб./кв.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44AB2">
              <w:rPr>
                <w:color w:val="000000"/>
                <w:sz w:val="24"/>
                <w:szCs w:val="24"/>
              </w:rPr>
              <w:t>м уборочной площади мест общего пользования</w:t>
            </w:r>
          </w:p>
        </w:tc>
        <w:tc>
          <w:tcPr>
            <w:tcW w:w="2268" w:type="dxa"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466</w:t>
            </w:r>
          </w:p>
        </w:tc>
        <w:tc>
          <w:tcPr>
            <w:tcW w:w="2240" w:type="dxa"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3 5</w:t>
            </w: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240" w:type="dxa"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3 68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49" w:type="dxa"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3 8</w:t>
            </w: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noWrap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2 86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10" w:type="dxa"/>
            <w:hideMark/>
          </w:tcPr>
          <w:p w:rsidR="003D4A5A" w:rsidRPr="00AD7C91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D7C91">
              <w:rPr>
                <w:color w:val="000000"/>
                <w:sz w:val="24"/>
                <w:szCs w:val="24"/>
              </w:rPr>
              <w:t>теплоснабжения</w:t>
            </w:r>
          </w:p>
        </w:tc>
        <w:tc>
          <w:tcPr>
            <w:tcW w:w="2018" w:type="dxa"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руб./пог.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44AB2">
              <w:rPr>
                <w:color w:val="000000"/>
                <w:sz w:val="24"/>
                <w:szCs w:val="24"/>
              </w:rPr>
              <w:t>м заменяемого трубопровода</w:t>
            </w:r>
          </w:p>
        </w:tc>
        <w:tc>
          <w:tcPr>
            <w:tcW w:w="2268" w:type="dxa"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655</w:t>
            </w:r>
          </w:p>
        </w:tc>
        <w:tc>
          <w:tcPr>
            <w:tcW w:w="2240" w:type="dxa"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2240" w:type="dxa"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2149" w:type="dxa"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701" w:type="dxa"/>
            <w:noWrap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128</w:t>
            </w: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10" w:type="dxa"/>
            <w:hideMark/>
          </w:tcPr>
          <w:p w:rsidR="003D4A5A" w:rsidRPr="00AD7C91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AD7C91">
              <w:rPr>
                <w:color w:val="000000"/>
                <w:sz w:val="24"/>
                <w:szCs w:val="24"/>
              </w:rPr>
              <w:t>водоснабжения:</w:t>
            </w:r>
          </w:p>
        </w:tc>
        <w:tc>
          <w:tcPr>
            <w:tcW w:w="2018" w:type="dxa"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3D4A5A" w:rsidRPr="00B44AB2" w:rsidRDefault="003D4A5A" w:rsidP="0052772D">
            <w:pPr>
              <w:widowControl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2410" w:type="dxa"/>
            <w:hideMark/>
          </w:tcPr>
          <w:p w:rsidR="003D4A5A" w:rsidRPr="00AD7C91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D7C91">
              <w:rPr>
                <w:color w:val="000000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01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руб./пог.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44AB2">
              <w:rPr>
                <w:color w:val="000000"/>
                <w:sz w:val="24"/>
                <w:szCs w:val="24"/>
              </w:rPr>
              <w:t>м заменяемого трубопровода</w:t>
            </w:r>
          </w:p>
        </w:tc>
        <w:tc>
          <w:tcPr>
            <w:tcW w:w="226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2 0</w:t>
            </w: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>883</w:t>
            </w:r>
          </w:p>
        </w:tc>
        <w:tc>
          <w:tcPr>
            <w:tcW w:w="2149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1 8</w:t>
            </w: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033</w:t>
            </w: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2410" w:type="dxa"/>
            <w:hideMark/>
          </w:tcPr>
          <w:p w:rsidR="003D4A5A" w:rsidRPr="00AD7C91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D7C91">
              <w:rPr>
                <w:color w:val="000000"/>
                <w:sz w:val="24"/>
                <w:szCs w:val="24"/>
              </w:rPr>
              <w:t>горячего водоснабжения</w:t>
            </w:r>
          </w:p>
        </w:tc>
        <w:tc>
          <w:tcPr>
            <w:tcW w:w="201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руб./пог.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44AB2">
              <w:rPr>
                <w:color w:val="000000"/>
                <w:sz w:val="24"/>
                <w:szCs w:val="24"/>
              </w:rPr>
              <w:t>м заменяемого трубопровода</w:t>
            </w:r>
          </w:p>
        </w:tc>
        <w:tc>
          <w:tcPr>
            <w:tcW w:w="226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2149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089</w:t>
            </w:r>
          </w:p>
        </w:tc>
        <w:tc>
          <w:tcPr>
            <w:tcW w:w="1701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041</w:t>
            </w: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10" w:type="dxa"/>
            <w:hideMark/>
          </w:tcPr>
          <w:p w:rsidR="003D4A5A" w:rsidRPr="00AD7C91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D7C91">
              <w:rPr>
                <w:color w:val="000000"/>
                <w:sz w:val="24"/>
                <w:szCs w:val="24"/>
              </w:rPr>
              <w:t>водоотведения</w:t>
            </w:r>
          </w:p>
        </w:tc>
        <w:tc>
          <w:tcPr>
            <w:tcW w:w="201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руб./пог.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44AB2">
              <w:rPr>
                <w:color w:val="000000"/>
                <w:sz w:val="24"/>
                <w:szCs w:val="24"/>
              </w:rPr>
              <w:t>м заменяемого трубопровода</w:t>
            </w:r>
          </w:p>
        </w:tc>
        <w:tc>
          <w:tcPr>
            <w:tcW w:w="226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3 1</w:t>
            </w: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2149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063</w:t>
            </w:r>
          </w:p>
        </w:tc>
        <w:tc>
          <w:tcPr>
            <w:tcW w:w="1701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950</w:t>
            </w: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2410" w:type="dxa"/>
            <w:hideMark/>
          </w:tcPr>
          <w:p w:rsidR="003D4A5A" w:rsidRPr="00AD7C91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D7C91">
              <w:rPr>
                <w:color w:val="000000"/>
                <w:sz w:val="24"/>
                <w:szCs w:val="24"/>
              </w:rPr>
              <w:t>газоснабжения</w:t>
            </w:r>
          </w:p>
        </w:tc>
        <w:tc>
          <w:tcPr>
            <w:tcW w:w="201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руб./пог.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44AB2">
              <w:rPr>
                <w:color w:val="000000"/>
                <w:sz w:val="24"/>
                <w:szCs w:val="24"/>
              </w:rPr>
              <w:t>м заменяемого трубопровода</w:t>
            </w:r>
          </w:p>
        </w:tc>
        <w:tc>
          <w:tcPr>
            <w:tcW w:w="226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>849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1 5</w:t>
            </w: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101</w:t>
            </w:r>
          </w:p>
        </w:tc>
        <w:tc>
          <w:tcPr>
            <w:tcW w:w="2149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1 0</w:t>
            </w: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42</w:t>
            </w: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hideMark/>
          </w:tcPr>
          <w:p w:rsidR="003D4A5A" w:rsidRPr="00AD7C91" w:rsidRDefault="003D4A5A" w:rsidP="00B37D03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201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B44AB2">
              <w:rPr>
                <w:color w:val="000000"/>
                <w:sz w:val="24"/>
                <w:szCs w:val="24"/>
              </w:rPr>
              <w:t>уб</w:t>
            </w:r>
            <w:r>
              <w:rPr>
                <w:color w:val="000000"/>
                <w:sz w:val="24"/>
                <w:szCs w:val="24"/>
              </w:rPr>
              <w:t>.</w:t>
            </w:r>
            <w:r w:rsidRPr="00B44AB2">
              <w:rPr>
                <w:color w:val="000000"/>
                <w:sz w:val="24"/>
                <w:szCs w:val="24"/>
              </w:rPr>
              <w:t>/лифт</w:t>
            </w:r>
          </w:p>
        </w:tc>
        <w:tc>
          <w:tcPr>
            <w:tcW w:w="2268" w:type="dxa"/>
            <w:hideMark/>
          </w:tcPr>
          <w:p w:rsidR="003D4A5A" w:rsidRDefault="003D4A5A" w:rsidP="00B37D03">
            <w:pPr>
              <w:spacing w:line="228" w:lineRule="auto"/>
              <w:jc w:val="center"/>
            </w:pPr>
            <w:r w:rsidRPr="00DF2E9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40" w:type="dxa"/>
            <w:hideMark/>
          </w:tcPr>
          <w:p w:rsidR="003D4A5A" w:rsidRDefault="003D4A5A" w:rsidP="00B37D03">
            <w:pPr>
              <w:spacing w:line="228" w:lineRule="auto"/>
              <w:jc w:val="center"/>
            </w:pPr>
            <w:r w:rsidRPr="00DF2E9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40" w:type="dxa"/>
            <w:hideMark/>
          </w:tcPr>
          <w:p w:rsidR="003D4A5A" w:rsidRDefault="003D4A5A" w:rsidP="00B37D03">
            <w:pPr>
              <w:spacing w:line="228" w:lineRule="auto"/>
              <w:jc w:val="center"/>
            </w:pPr>
            <w:r w:rsidRPr="00DF2E9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49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319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027</w:t>
            </w:r>
          </w:p>
        </w:tc>
        <w:tc>
          <w:tcPr>
            <w:tcW w:w="1701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3 0</w:t>
            </w:r>
            <w:r>
              <w:rPr>
                <w:color w:val="000000"/>
                <w:sz w:val="24"/>
                <w:szCs w:val="24"/>
              </w:rPr>
              <w:t>53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436</w:t>
            </w: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hideMark/>
          </w:tcPr>
          <w:p w:rsidR="003D4A5A" w:rsidRPr="00AD7C91" w:rsidRDefault="003D4A5A" w:rsidP="00B37D03">
            <w:pPr>
              <w:widowControl/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AD7C91">
              <w:rPr>
                <w:bCs/>
                <w:color w:val="000000"/>
                <w:sz w:val="24"/>
                <w:szCs w:val="24"/>
              </w:rPr>
              <w:t>Ремонт крыши следующего типа</w:t>
            </w:r>
          </w:p>
        </w:tc>
        <w:tc>
          <w:tcPr>
            <w:tcW w:w="201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10" w:type="dxa"/>
            <w:hideMark/>
          </w:tcPr>
          <w:p w:rsidR="003D4A5A" w:rsidRPr="00AD7C91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D7C91">
              <w:rPr>
                <w:color w:val="000000"/>
                <w:sz w:val="24"/>
                <w:szCs w:val="24"/>
              </w:rPr>
              <w:t>скатные</w:t>
            </w:r>
          </w:p>
        </w:tc>
        <w:tc>
          <w:tcPr>
            <w:tcW w:w="201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руб./кв.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44AB2">
              <w:rPr>
                <w:color w:val="000000"/>
                <w:sz w:val="24"/>
                <w:szCs w:val="24"/>
              </w:rPr>
              <w:t>м общей площади покрытия кровли</w:t>
            </w:r>
          </w:p>
        </w:tc>
        <w:tc>
          <w:tcPr>
            <w:tcW w:w="226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197</w:t>
            </w:r>
          </w:p>
        </w:tc>
        <w:tc>
          <w:tcPr>
            <w:tcW w:w="2149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10" w:type="dxa"/>
            <w:hideMark/>
          </w:tcPr>
          <w:p w:rsidR="003D4A5A" w:rsidRPr="00AD7C91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D7C91">
              <w:rPr>
                <w:color w:val="000000"/>
                <w:sz w:val="24"/>
                <w:szCs w:val="24"/>
              </w:rPr>
              <w:t>плоские</w:t>
            </w:r>
          </w:p>
        </w:tc>
        <w:tc>
          <w:tcPr>
            <w:tcW w:w="2018" w:type="dxa"/>
            <w:hideMark/>
          </w:tcPr>
          <w:p w:rsidR="008F6268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руб./кв.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44AB2">
              <w:rPr>
                <w:color w:val="000000"/>
                <w:sz w:val="24"/>
                <w:szCs w:val="24"/>
              </w:rPr>
              <w:t>м общей площади покрытия кровли</w:t>
            </w:r>
          </w:p>
        </w:tc>
        <w:tc>
          <w:tcPr>
            <w:tcW w:w="226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4 1</w:t>
            </w: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149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4 00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3 8</w:t>
            </w:r>
            <w:r>
              <w:rPr>
                <w:color w:val="000000"/>
                <w:sz w:val="24"/>
                <w:szCs w:val="24"/>
              </w:rPr>
              <w:t>33</w:t>
            </w: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hideMark/>
          </w:tcPr>
          <w:p w:rsidR="003D4A5A" w:rsidRDefault="003D4A5A" w:rsidP="00B37D03">
            <w:pPr>
              <w:widowControl/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AD7C91">
              <w:rPr>
                <w:bCs/>
                <w:color w:val="000000"/>
                <w:sz w:val="24"/>
                <w:szCs w:val="24"/>
              </w:rPr>
              <w:t>Ремонт подвальных помещений,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D7C91">
              <w:rPr>
                <w:bCs/>
                <w:color w:val="000000"/>
                <w:sz w:val="24"/>
                <w:szCs w:val="24"/>
              </w:rPr>
              <w:t xml:space="preserve">относящихся </w:t>
            </w:r>
            <w:r w:rsidR="0052772D">
              <w:rPr>
                <w:bCs/>
                <w:color w:val="000000"/>
                <w:sz w:val="24"/>
                <w:szCs w:val="24"/>
              </w:rPr>
              <w:br/>
            </w:r>
            <w:r w:rsidRPr="00AD7C91">
              <w:rPr>
                <w:bCs/>
                <w:color w:val="000000"/>
                <w:sz w:val="24"/>
                <w:szCs w:val="24"/>
              </w:rPr>
              <w:t>к общему имуществу в многоквартирном доме</w:t>
            </w:r>
          </w:p>
          <w:p w:rsidR="0052772D" w:rsidRDefault="0052772D" w:rsidP="00B37D03">
            <w:pPr>
              <w:widowControl/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2772D" w:rsidRPr="00AD7C91" w:rsidRDefault="0052772D" w:rsidP="00B37D03">
            <w:pPr>
              <w:widowControl/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B44AB2">
              <w:rPr>
                <w:color w:val="000000"/>
                <w:sz w:val="24"/>
                <w:szCs w:val="24"/>
              </w:rPr>
              <w:t>уб</w:t>
            </w:r>
            <w:r>
              <w:rPr>
                <w:color w:val="000000"/>
                <w:sz w:val="24"/>
                <w:szCs w:val="24"/>
              </w:rPr>
              <w:t>.</w:t>
            </w:r>
            <w:r w:rsidRPr="00B44AB2">
              <w:rPr>
                <w:color w:val="000000"/>
                <w:sz w:val="24"/>
                <w:szCs w:val="24"/>
              </w:rPr>
              <w:t>/кв.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44AB2">
              <w:rPr>
                <w:color w:val="000000"/>
                <w:sz w:val="24"/>
                <w:szCs w:val="24"/>
              </w:rPr>
              <w:t>м площади подвала</w:t>
            </w:r>
          </w:p>
        </w:tc>
        <w:tc>
          <w:tcPr>
            <w:tcW w:w="226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599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1 94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49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1 8</w:t>
            </w: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1 6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hideMark/>
          </w:tcPr>
          <w:p w:rsidR="003D4A5A" w:rsidRPr="00AD7C91" w:rsidRDefault="003D4A5A" w:rsidP="00B37D03">
            <w:pPr>
              <w:widowControl/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AD7C91">
              <w:rPr>
                <w:bCs/>
                <w:color w:val="000000"/>
                <w:sz w:val="24"/>
                <w:szCs w:val="24"/>
              </w:rPr>
              <w:t xml:space="preserve">Ремонт фасада, </w:t>
            </w:r>
            <w:r w:rsidR="0052772D">
              <w:rPr>
                <w:bCs/>
                <w:color w:val="000000"/>
                <w:sz w:val="24"/>
                <w:szCs w:val="24"/>
              </w:rPr>
              <w:br/>
            </w:r>
            <w:r w:rsidRPr="00AD7C91">
              <w:rPr>
                <w:bCs/>
                <w:color w:val="000000"/>
                <w:sz w:val="24"/>
                <w:szCs w:val="24"/>
              </w:rPr>
              <w:t xml:space="preserve">в зависимости </w:t>
            </w:r>
            <w:r w:rsidR="0052772D">
              <w:rPr>
                <w:bCs/>
                <w:color w:val="000000"/>
                <w:sz w:val="24"/>
                <w:szCs w:val="24"/>
              </w:rPr>
              <w:br/>
            </w:r>
            <w:r w:rsidRPr="00AD7C91">
              <w:rPr>
                <w:bCs/>
                <w:color w:val="000000"/>
                <w:sz w:val="24"/>
                <w:szCs w:val="24"/>
              </w:rPr>
              <w:t>от выполняемых работ:</w:t>
            </w:r>
          </w:p>
        </w:tc>
        <w:tc>
          <w:tcPr>
            <w:tcW w:w="201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2410" w:type="dxa"/>
            <w:hideMark/>
          </w:tcPr>
          <w:p w:rsidR="003D4A5A" w:rsidRPr="00AD7C91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D7C91">
              <w:rPr>
                <w:color w:val="000000"/>
                <w:sz w:val="24"/>
                <w:szCs w:val="24"/>
              </w:rPr>
              <w:t>ремонт фасада, требующего утеплени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201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руб./кв.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44AB2">
              <w:rPr>
                <w:color w:val="000000"/>
                <w:sz w:val="24"/>
                <w:szCs w:val="24"/>
              </w:rPr>
              <w:t>м площади фасада</w:t>
            </w:r>
          </w:p>
        </w:tc>
        <w:tc>
          <w:tcPr>
            <w:tcW w:w="226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2149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5 20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5 18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2410" w:type="dxa"/>
            <w:hideMark/>
          </w:tcPr>
          <w:p w:rsidR="003D4A5A" w:rsidRPr="00AD7C91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D7C91">
              <w:rPr>
                <w:color w:val="000000"/>
                <w:sz w:val="24"/>
                <w:szCs w:val="24"/>
              </w:rPr>
              <w:t xml:space="preserve">ремонт фасада, </w:t>
            </w:r>
            <w:r w:rsidR="0052772D">
              <w:rPr>
                <w:color w:val="000000"/>
                <w:sz w:val="24"/>
                <w:szCs w:val="24"/>
              </w:rPr>
              <w:br/>
            </w:r>
            <w:r w:rsidRPr="00AD7C91">
              <w:rPr>
                <w:color w:val="000000"/>
                <w:sz w:val="24"/>
                <w:szCs w:val="24"/>
              </w:rPr>
              <w:t>не требующего утеплени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201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руб./кв.</w:t>
            </w:r>
            <w:r w:rsidR="008F6268">
              <w:rPr>
                <w:color w:val="000000"/>
                <w:sz w:val="24"/>
                <w:szCs w:val="24"/>
              </w:rPr>
              <w:t xml:space="preserve"> </w:t>
            </w:r>
            <w:r w:rsidRPr="00B44AB2">
              <w:rPr>
                <w:color w:val="000000"/>
                <w:sz w:val="24"/>
                <w:szCs w:val="24"/>
              </w:rPr>
              <w:t>м площади фасада</w:t>
            </w:r>
          </w:p>
        </w:tc>
        <w:tc>
          <w:tcPr>
            <w:tcW w:w="226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3 </w:t>
            </w:r>
            <w:r>
              <w:rPr>
                <w:color w:val="000000"/>
                <w:sz w:val="24"/>
                <w:szCs w:val="24"/>
              </w:rPr>
              <w:t>559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619</w:t>
            </w:r>
          </w:p>
        </w:tc>
        <w:tc>
          <w:tcPr>
            <w:tcW w:w="2240" w:type="dxa"/>
            <w:hideMark/>
          </w:tcPr>
          <w:p w:rsidR="003D4A5A" w:rsidRPr="00B44AB2" w:rsidRDefault="008F6268" w:rsidP="00B37D03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D4A5A" w:rsidRPr="00B44AB2">
              <w:rPr>
                <w:sz w:val="24"/>
                <w:szCs w:val="24"/>
              </w:rPr>
              <w:t>ирпичные - 2</w:t>
            </w:r>
            <w:r w:rsidR="003D4A5A">
              <w:rPr>
                <w:sz w:val="24"/>
                <w:szCs w:val="24"/>
              </w:rPr>
              <w:t>385</w:t>
            </w:r>
            <w:r w:rsidR="003D4A5A" w:rsidRPr="00B44A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="003D4A5A" w:rsidRPr="00B44AB2">
              <w:rPr>
                <w:sz w:val="24"/>
                <w:szCs w:val="24"/>
              </w:rPr>
              <w:t>анельные - 3</w:t>
            </w:r>
            <w:r w:rsidR="003D4A5A">
              <w:rPr>
                <w:sz w:val="24"/>
                <w:szCs w:val="24"/>
              </w:rPr>
              <w:t>093</w:t>
            </w:r>
          </w:p>
        </w:tc>
        <w:tc>
          <w:tcPr>
            <w:tcW w:w="2149" w:type="dxa"/>
            <w:hideMark/>
          </w:tcPr>
          <w:p w:rsidR="003D4A5A" w:rsidRDefault="008F6268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3D4A5A" w:rsidRPr="00B44AB2">
              <w:rPr>
                <w:color w:val="000000"/>
                <w:sz w:val="24"/>
                <w:szCs w:val="24"/>
              </w:rPr>
              <w:t>ирпичные - 25</w:t>
            </w:r>
            <w:r w:rsidR="003D4A5A">
              <w:rPr>
                <w:color w:val="000000"/>
                <w:sz w:val="24"/>
                <w:szCs w:val="24"/>
              </w:rPr>
              <w:t>75</w:t>
            </w:r>
          </w:p>
          <w:p w:rsidR="003D4A5A" w:rsidRPr="00B44AB2" w:rsidRDefault="008F6268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3D4A5A" w:rsidRPr="00B44AB2">
              <w:rPr>
                <w:color w:val="000000"/>
                <w:sz w:val="24"/>
                <w:szCs w:val="24"/>
              </w:rPr>
              <w:t>анельные - 317</w:t>
            </w:r>
            <w:r w:rsidR="003D4A5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509</w:t>
            </w: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hideMark/>
          </w:tcPr>
          <w:p w:rsidR="003D4A5A" w:rsidRPr="00AD7C91" w:rsidRDefault="003D4A5A" w:rsidP="00B37D03">
            <w:pPr>
              <w:widowControl/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AD7C91">
              <w:rPr>
                <w:bCs/>
                <w:color w:val="000000"/>
                <w:sz w:val="24"/>
                <w:szCs w:val="24"/>
              </w:rPr>
              <w:t>Ремонт фундамента многоквартирного дома</w:t>
            </w:r>
          </w:p>
        </w:tc>
        <w:tc>
          <w:tcPr>
            <w:tcW w:w="201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руб./куб.</w:t>
            </w:r>
            <w:r w:rsidR="008F6268">
              <w:rPr>
                <w:color w:val="000000"/>
                <w:sz w:val="24"/>
                <w:szCs w:val="24"/>
              </w:rPr>
              <w:t xml:space="preserve"> </w:t>
            </w:r>
            <w:r w:rsidRPr="00B44AB2">
              <w:rPr>
                <w:color w:val="000000"/>
                <w:sz w:val="24"/>
                <w:szCs w:val="24"/>
              </w:rPr>
              <w:t>м фундамента</w:t>
            </w:r>
          </w:p>
        </w:tc>
        <w:tc>
          <w:tcPr>
            <w:tcW w:w="226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46 </w:t>
            </w:r>
            <w:r>
              <w:rPr>
                <w:color w:val="000000"/>
                <w:sz w:val="24"/>
                <w:szCs w:val="24"/>
              </w:rPr>
              <w:t>971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46 </w:t>
            </w:r>
            <w:r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149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45 </w:t>
            </w: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01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 xml:space="preserve">41 </w:t>
            </w:r>
            <w:r>
              <w:rPr>
                <w:color w:val="000000"/>
                <w:sz w:val="24"/>
                <w:szCs w:val="24"/>
              </w:rPr>
              <w:t>244</w:t>
            </w: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hideMark/>
          </w:tcPr>
          <w:p w:rsidR="003D4A5A" w:rsidRPr="00AD7C91" w:rsidRDefault="003D4A5A" w:rsidP="00B37D03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узлов управления и регулирования потребления:</w:t>
            </w:r>
          </w:p>
        </w:tc>
        <w:tc>
          <w:tcPr>
            <w:tcW w:w="201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2410" w:type="dxa"/>
            <w:hideMark/>
          </w:tcPr>
          <w:p w:rsidR="003D4A5A" w:rsidRPr="00AD7C91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AD7C91">
              <w:rPr>
                <w:color w:val="000000"/>
                <w:sz w:val="24"/>
                <w:szCs w:val="24"/>
              </w:rPr>
              <w:t>тепловой энергии</w:t>
            </w:r>
          </w:p>
        </w:tc>
        <w:tc>
          <w:tcPr>
            <w:tcW w:w="201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руб./шт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48</w:t>
            </w:r>
            <w:r>
              <w:rPr>
                <w:color w:val="000000"/>
                <w:sz w:val="24"/>
                <w:szCs w:val="24"/>
              </w:rPr>
              <w:t>4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488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48</w:t>
            </w:r>
            <w:r>
              <w:rPr>
                <w:color w:val="000000"/>
                <w:sz w:val="24"/>
                <w:szCs w:val="24"/>
              </w:rPr>
              <w:t>4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488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48</w:t>
            </w:r>
            <w:r>
              <w:rPr>
                <w:color w:val="000000"/>
                <w:sz w:val="24"/>
                <w:szCs w:val="24"/>
              </w:rPr>
              <w:t>4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488</w:t>
            </w:r>
          </w:p>
        </w:tc>
        <w:tc>
          <w:tcPr>
            <w:tcW w:w="2149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48</w:t>
            </w:r>
            <w:r>
              <w:rPr>
                <w:color w:val="000000"/>
                <w:sz w:val="24"/>
                <w:szCs w:val="24"/>
              </w:rPr>
              <w:t>4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488</w:t>
            </w:r>
          </w:p>
        </w:tc>
        <w:tc>
          <w:tcPr>
            <w:tcW w:w="1701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48</w:t>
            </w:r>
            <w:r>
              <w:rPr>
                <w:color w:val="000000"/>
                <w:sz w:val="24"/>
                <w:szCs w:val="24"/>
              </w:rPr>
              <w:t>4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488</w:t>
            </w: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241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электрической энергии</w:t>
            </w:r>
          </w:p>
        </w:tc>
        <w:tc>
          <w:tcPr>
            <w:tcW w:w="201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руб./шт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947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947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947</w:t>
            </w:r>
          </w:p>
        </w:tc>
        <w:tc>
          <w:tcPr>
            <w:tcW w:w="2149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947</w:t>
            </w:r>
          </w:p>
        </w:tc>
        <w:tc>
          <w:tcPr>
            <w:tcW w:w="1701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947</w:t>
            </w: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7.3</w:t>
            </w:r>
          </w:p>
        </w:tc>
        <w:tc>
          <w:tcPr>
            <w:tcW w:w="241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B44AB2">
              <w:rPr>
                <w:sz w:val="24"/>
                <w:szCs w:val="24"/>
              </w:rPr>
              <w:t>холодной или горячей воды</w:t>
            </w:r>
          </w:p>
        </w:tc>
        <w:tc>
          <w:tcPr>
            <w:tcW w:w="201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руб./шт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2149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701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219</w:t>
            </w:r>
          </w:p>
        </w:tc>
      </w:tr>
      <w:tr w:rsidR="003D4A5A" w:rsidRPr="00B44AB2" w:rsidTr="003D4A5A">
        <w:trPr>
          <w:trHeight w:val="20"/>
        </w:trPr>
        <w:tc>
          <w:tcPr>
            <w:tcW w:w="704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7.4</w:t>
            </w:r>
          </w:p>
        </w:tc>
        <w:tc>
          <w:tcPr>
            <w:tcW w:w="241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газа</w:t>
            </w:r>
          </w:p>
        </w:tc>
        <w:tc>
          <w:tcPr>
            <w:tcW w:w="201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44AB2">
              <w:rPr>
                <w:color w:val="000000"/>
                <w:sz w:val="24"/>
                <w:szCs w:val="24"/>
              </w:rPr>
              <w:t>руб./шт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240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149" w:type="dxa"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1701" w:type="dxa"/>
            <w:noWrap/>
            <w:hideMark/>
          </w:tcPr>
          <w:p w:rsidR="003D4A5A" w:rsidRPr="00B44AB2" w:rsidRDefault="003D4A5A" w:rsidP="00B37D03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</w:t>
            </w:r>
            <w:r w:rsidRPr="00B44A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772</w:t>
            </w:r>
          </w:p>
        </w:tc>
      </w:tr>
    </w:tbl>
    <w:p w:rsidR="008F6268" w:rsidRDefault="008F6268" w:rsidP="00B37D03">
      <w:pPr>
        <w:spacing w:line="228" w:lineRule="auto"/>
        <w:rPr>
          <w:sz w:val="24"/>
          <w:szCs w:val="24"/>
        </w:rPr>
      </w:pPr>
    </w:p>
    <w:p w:rsidR="003D4A5A" w:rsidRDefault="008F6268" w:rsidP="00B37D03">
      <w:pPr>
        <w:spacing w:line="228" w:lineRule="auto"/>
        <w:ind w:firstLine="709"/>
        <w:jc w:val="both"/>
        <w:rPr>
          <w:sz w:val="24"/>
          <w:szCs w:val="24"/>
        </w:rPr>
      </w:pPr>
      <w:r w:rsidRPr="00674FC6">
        <w:rPr>
          <w:sz w:val="24"/>
          <w:szCs w:val="24"/>
        </w:rPr>
        <w:t>Примечание. В размере предельной стоимости услуг и (или) работ по капитальному ремонту общего имущества в многоквартирном доме на территории Пензенской области на 202</w:t>
      </w:r>
      <w:r>
        <w:rPr>
          <w:sz w:val="24"/>
          <w:szCs w:val="24"/>
        </w:rPr>
        <w:t>1</w:t>
      </w:r>
      <w:r w:rsidRPr="00674FC6">
        <w:rPr>
          <w:sz w:val="24"/>
          <w:szCs w:val="24"/>
        </w:rPr>
        <w:t xml:space="preserve"> год,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</w:t>
      </w:r>
      <w:r w:rsidR="0052772D">
        <w:rPr>
          <w:sz w:val="24"/>
          <w:szCs w:val="24"/>
        </w:rPr>
        <w:t>,</w:t>
      </w:r>
      <w:r w:rsidRPr="00674FC6">
        <w:rPr>
          <w:sz w:val="24"/>
          <w:szCs w:val="24"/>
        </w:rPr>
        <w:t xml:space="preserve"> учтена стоимость работ (услуг) на:</w:t>
      </w:r>
    </w:p>
    <w:p w:rsidR="008F6268" w:rsidRDefault="008F6268" w:rsidP="00B37D03">
      <w:pPr>
        <w:spacing w:line="228" w:lineRule="auto"/>
        <w:ind w:firstLine="709"/>
        <w:jc w:val="both"/>
        <w:rPr>
          <w:sz w:val="24"/>
          <w:szCs w:val="24"/>
        </w:rPr>
      </w:pPr>
      <w:r w:rsidRPr="00674FC6">
        <w:rPr>
          <w:sz w:val="24"/>
          <w:szCs w:val="24"/>
        </w:rPr>
        <w:t>- разработку проектной документации</w:t>
      </w:r>
      <w:r>
        <w:rPr>
          <w:sz w:val="24"/>
          <w:szCs w:val="24"/>
        </w:rPr>
        <w:t xml:space="preserve"> (5% </w:t>
      </w:r>
      <w:r w:rsidRPr="00D148CC">
        <w:rPr>
          <w:sz w:val="24"/>
          <w:szCs w:val="24"/>
        </w:rPr>
        <w:t>согласно п</w:t>
      </w:r>
      <w:r w:rsidR="0052772D">
        <w:rPr>
          <w:sz w:val="24"/>
          <w:szCs w:val="24"/>
        </w:rPr>
        <w:t xml:space="preserve">ункту </w:t>
      </w:r>
      <w:r w:rsidRPr="00D148CC">
        <w:rPr>
          <w:sz w:val="24"/>
          <w:szCs w:val="24"/>
        </w:rPr>
        <w:t>19 таблиц</w:t>
      </w:r>
      <w:r w:rsidR="0052772D">
        <w:rPr>
          <w:sz w:val="24"/>
          <w:szCs w:val="24"/>
        </w:rPr>
        <w:t>ы</w:t>
      </w:r>
      <w:r w:rsidRPr="00D148CC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D148CC">
        <w:rPr>
          <w:sz w:val="24"/>
          <w:szCs w:val="24"/>
        </w:rPr>
        <w:t>12 СБЦП 81-2001-05 Приказ №</w:t>
      </w:r>
      <w:r>
        <w:rPr>
          <w:sz w:val="24"/>
          <w:szCs w:val="24"/>
        </w:rPr>
        <w:t xml:space="preserve"> </w:t>
      </w:r>
      <w:r w:rsidRPr="00D148CC">
        <w:rPr>
          <w:sz w:val="24"/>
          <w:szCs w:val="24"/>
        </w:rPr>
        <w:t>96 от 12.03.2012</w:t>
      </w:r>
      <w:r>
        <w:rPr>
          <w:sz w:val="24"/>
          <w:szCs w:val="24"/>
        </w:rPr>
        <w:t>)</w:t>
      </w:r>
      <w:r w:rsidR="0052772D">
        <w:rPr>
          <w:sz w:val="24"/>
          <w:szCs w:val="24"/>
        </w:rPr>
        <w:t>;</w:t>
      </w:r>
    </w:p>
    <w:p w:rsidR="008F6268" w:rsidRDefault="008F6268" w:rsidP="00B37D03">
      <w:pPr>
        <w:spacing w:line="228" w:lineRule="auto"/>
        <w:ind w:firstLine="709"/>
        <w:jc w:val="both"/>
        <w:rPr>
          <w:sz w:val="24"/>
          <w:szCs w:val="24"/>
        </w:rPr>
      </w:pPr>
      <w:r w:rsidRPr="00674FC6">
        <w:rPr>
          <w:sz w:val="24"/>
          <w:szCs w:val="24"/>
        </w:rPr>
        <w:t>- проверку достоверности определения сметной стоимости работ по капитальному ремонту общего имущества в многокварт</w:t>
      </w:r>
      <w:r w:rsidRPr="00EB4722">
        <w:rPr>
          <w:sz w:val="24"/>
          <w:szCs w:val="24"/>
        </w:rPr>
        <w:t>ир</w:t>
      </w:r>
      <w:r w:rsidRPr="00674FC6">
        <w:rPr>
          <w:sz w:val="24"/>
          <w:szCs w:val="24"/>
        </w:rPr>
        <w:t>ных домах</w:t>
      </w:r>
      <w:r>
        <w:rPr>
          <w:sz w:val="24"/>
          <w:szCs w:val="24"/>
        </w:rPr>
        <w:t xml:space="preserve"> (24000 руб.  с НДС согласно п</w:t>
      </w:r>
      <w:r w:rsidR="0052772D">
        <w:rPr>
          <w:sz w:val="24"/>
          <w:szCs w:val="24"/>
        </w:rPr>
        <w:t>ункту</w:t>
      </w:r>
      <w:r>
        <w:rPr>
          <w:sz w:val="24"/>
          <w:szCs w:val="24"/>
        </w:rPr>
        <w:t xml:space="preserve"> 57(3) </w:t>
      </w:r>
      <w:r w:rsidR="0052772D">
        <w:rPr>
          <w:sz w:val="24"/>
          <w:szCs w:val="24"/>
        </w:rPr>
        <w:t>п</w:t>
      </w:r>
      <w:r>
        <w:rPr>
          <w:sz w:val="24"/>
          <w:szCs w:val="24"/>
        </w:rPr>
        <w:t>остановления № 145 от 05.03.2007 с изм.)</w:t>
      </w:r>
      <w:r w:rsidR="0052772D">
        <w:rPr>
          <w:sz w:val="24"/>
          <w:szCs w:val="24"/>
        </w:rPr>
        <w:t>;</w:t>
      </w:r>
    </w:p>
    <w:p w:rsidR="008F6268" w:rsidRDefault="008F6268" w:rsidP="0052772D">
      <w:pPr>
        <w:spacing w:line="228" w:lineRule="auto"/>
        <w:ind w:firstLine="709"/>
        <w:jc w:val="both"/>
        <w:rPr>
          <w:sz w:val="24"/>
          <w:szCs w:val="24"/>
        </w:rPr>
      </w:pPr>
      <w:r w:rsidRPr="00674FC6">
        <w:rPr>
          <w:sz w:val="24"/>
          <w:szCs w:val="24"/>
        </w:rPr>
        <w:t>- оплату услуг по строительному контролю</w:t>
      </w:r>
      <w:r>
        <w:rPr>
          <w:sz w:val="24"/>
          <w:szCs w:val="24"/>
        </w:rPr>
        <w:t xml:space="preserve"> </w:t>
      </w:r>
      <w:r w:rsidRPr="006106BD">
        <w:rPr>
          <w:sz w:val="24"/>
          <w:szCs w:val="24"/>
        </w:rPr>
        <w:t>(2,14% от общей стоимости строительно-монтажных работ для ремонта фундамента, фасада, крыши и ВИС) и (1,5% от общей стоимости строительно-монтажных работ для замены лифтового оборудования)</w:t>
      </w:r>
      <w:r w:rsidR="0052772D">
        <w:rPr>
          <w:sz w:val="24"/>
          <w:szCs w:val="24"/>
        </w:rPr>
        <w:t>.</w:t>
      </w:r>
    </w:p>
    <w:p w:rsidR="00352960" w:rsidRDefault="00352960" w:rsidP="00352960">
      <w:pPr>
        <w:spacing w:line="228" w:lineRule="auto"/>
        <w:ind w:firstLine="709"/>
        <w:jc w:val="center"/>
        <w:rPr>
          <w:sz w:val="28"/>
        </w:rPr>
      </w:pPr>
      <w:r>
        <w:rPr>
          <w:sz w:val="24"/>
          <w:szCs w:val="24"/>
        </w:rPr>
        <w:t>_______________</w:t>
      </w:r>
    </w:p>
    <w:sectPr w:rsidR="00352960" w:rsidSect="0052772D">
      <w:endnotePr>
        <w:numFmt w:val="decimal"/>
      </w:endnotePr>
      <w:pgSz w:w="16840" w:h="11907" w:orient="landscape"/>
      <w:pgMar w:top="1701" w:right="1134" w:bottom="567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1A3" w:rsidRDefault="00F401A3">
      <w:r>
        <w:separator/>
      </w:r>
    </w:p>
  </w:endnote>
  <w:endnote w:type="continuationSeparator" w:id="0">
    <w:p w:rsidR="00F401A3" w:rsidRDefault="00F4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352960">
      <w:rPr>
        <w:noProof/>
        <w:sz w:val="16"/>
      </w:rPr>
      <w:t>c:\пк3\пр9\постановления\24.12.20.13.docx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1A3" w:rsidRDefault="00F401A3">
      <w:r>
        <w:separator/>
      </w:r>
    </w:p>
  </w:footnote>
  <w:footnote w:type="continuationSeparator" w:id="0">
    <w:p w:rsidR="00F401A3" w:rsidRDefault="00F40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29237"/>
      <w:docPartObj>
        <w:docPartGallery w:val="Page Numbers (Top of Page)"/>
        <w:docPartUnique/>
      </w:docPartObj>
    </w:sdtPr>
    <w:sdtEndPr/>
    <w:sdtContent>
      <w:p w:rsidR="008F6268" w:rsidRDefault="008F62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C2D">
          <w:rPr>
            <w:noProof/>
          </w:rPr>
          <w:t>1</w:t>
        </w:r>
        <w:r>
          <w:fldChar w:fldCharType="end"/>
        </w:r>
      </w:p>
    </w:sdtContent>
  </w:sdt>
  <w:p w:rsidR="008F6268" w:rsidRDefault="008F62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14"/>
    <w:rsid w:val="00004140"/>
    <w:rsid w:val="00014419"/>
    <w:rsid w:val="000B1160"/>
    <w:rsid w:val="000F2BFC"/>
    <w:rsid w:val="0012039B"/>
    <w:rsid w:val="00144E13"/>
    <w:rsid w:val="00146B14"/>
    <w:rsid w:val="00154605"/>
    <w:rsid w:val="00181E08"/>
    <w:rsid w:val="00185134"/>
    <w:rsid w:val="00190DEE"/>
    <w:rsid w:val="001B7A0D"/>
    <w:rsid w:val="001E692E"/>
    <w:rsid w:val="00204F72"/>
    <w:rsid w:val="00206507"/>
    <w:rsid w:val="0024384B"/>
    <w:rsid w:val="00271AE9"/>
    <w:rsid w:val="002A0ABF"/>
    <w:rsid w:val="002A2CC8"/>
    <w:rsid w:val="002B6B95"/>
    <w:rsid w:val="002E3A70"/>
    <w:rsid w:val="00352960"/>
    <w:rsid w:val="00361371"/>
    <w:rsid w:val="003D4A5A"/>
    <w:rsid w:val="003F4EA4"/>
    <w:rsid w:val="00426FF1"/>
    <w:rsid w:val="00457052"/>
    <w:rsid w:val="0047451C"/>
    <w:rsid w:val="004827C1"/>
    <w:rsid w:val="0049613D"/>
    <w:rsid w:val="004D379D"/>
    <w:rsid w:val="004F2F09"/>
    <w:rsid w:val="005237B7"/>
    <w:rsid w:val="0052772D"/>
    <w:rsid w:val="0054374E"/>
    <w:rsid w:val="006246CD"/>
    <w:rsid w:val="0069184F"/>
    <w:rsid w:val="006F4247"/>
    <w:rsid w:val="0074074F"/>
    <w:rsid w:val="007767E5"/>
    <w:rsid w:val="007F3006"/>
    <w:rsid w:val="008150CC"/>
    <w:rsid w:val="008217BE"/>
    <w:rsid w:val="00886F02"/>
    <w:rsid w:val="008B484C"/>
    <w:rsid w:val="008F2667"/>
    <w:rsid w:val="008F6268"/>
    <w:rsid w:val="009D14EE"/>
    <w:rsid w:val="009F7164"/>
    <w:rsid w:val="00A01858"/>
    <w:rsid w:val="00AE324C"/>
    <w:rsid w:val="00B37D03"/>
    <w:rsid w:val="00B713DD"/>
    <w:rsid w:val="00B715E7"/>
    <w:rsid w:val="00B868B9"/>
    <w:rsid w:val="00BA5A70"/>
    <w:rsid w:val="00BC488B"/>
    <w:rsid w:val="00C43890"/>
    <w:rsid w:val="00C71EE1"/>
    <w:rsid w:val="00C96F98"/>
    <w:rsid w:val="00CA6FF9"/>
    <w:rsid w:val="00CA7455"/>
    <w:rsid w:val="00CB39BF"/>
    <w:rsid w:val="00D3044A"/>
    <w:rsid w:val="00D92B08"/>
    <w:rsid w:val="00DA6C2D"/>
    <w:rsid w:val="00DD535C"/>
    <w:rsid w:val="00DD74B0"/>
    <w:rsid w:val="00E06208"/>
    <w:rsid w:val="00E931EB"/>
    <w:rsid w:val="00F22B88"/>
    <w:rsid w:val="00F321C6"/>
    <w:rsid w:val="00F401A3"/>
    <w:rsid w:val="00F62C23"/>
    <w:rsid w:val="00F750BF"/>
    <w:rsid w:val="00F873BF"/>
    <w:rsid w:val="00FB11C4"/>
    <w:rsid w:val="00FC4F89"/>
    <w:rsid w:val="00FD758A"/>
    <w:rsid w:val="00FE4FDA"/>
    <w:rsid w:val="00F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09A72C-A02C-4065-BECC-4DEDA8B3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uiPriority w:val="99"/>
    <w:rsid w:val="00146B14"/>
    <w:rPr>
      <w:b/>
      <w:color w:val="008000"/>
    </w:rPr>
  </w:style>
  <w:style w:type="character" w:styleId="aa">
    <w:name w:val="Hyperlink"/>
    <w:uiPriority w:val="99"/>
    <w:rsid w:val="00146B14"/>
    <w:rPr>
      <w:color w:val="0000FF"/>
      <w:u w:val="single"/>
    </w:rPr>
  </w:style>
  <w:style w:type="table" w:styleId="ab">
    <w:name w:val="Table Grid"/>
    <w:basedOn w:val="a1"/>
    <w:rsid w:val="003D4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8F6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movagk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Галина Константиновна</dc:creator>
  <cp:lastModifiedBy>Юля Трубина</cp:lastModifiedBy>
  <cp:revision>2</cp:revision>
  <cp:lastPrinted>2020-12-24T13:21:00Z</cp:lastPrinted>
  <dcterms:created xsi:type="dcterms:W3CDTF">2020-12-28T09:04:00Z</dcterms:created>
  <dcterms:modified xsi:type="dcterms:W3CDTF">2020-12-28T09:04:00Z</dcterms:modified>
</cp:coreProperties>
</file>