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AE6" w:rsidRPr="000713DA" w:rsidRDefault="003345D2">
      <w:pPr>
        <w:pStyle w:val="1"/>
        <w:rPr>
          <w:color w:val="auto"/>
        </w:rPr>
      </w:pPr>
      <w:r w:rsidRPr="000713DA">
        <w:rPr>
          <w:color w:val="auto"/>
        </w:rPr>
        <w:fldChar w:fldCharType="begin"/>
      </w:r>
      <w:r w:rsidRPr="000713DA">
        <w:rPr>
          <w:color w:val="auto"/>
        </w:rPr>
        <w:instrText>HYPERLINK "garantF1://70221296.0"</w:instrText>
      </w:r>
      <w:r w:rsidRPr="000713DA">
        <w:rPr>
          <w:color w:val="auto"/>
        </w:rPr>
        <w:fldChar w:fldCharType="separate"/>
      </w:r>
      <w:r w:rsidRPr="000713DA">
        <w:rPr>
          <w:rStyle w:val="a4"/>
          <w:color w:val="auto"/>
        </w:rPr>
        <w:t>Постановление Правительства РФ от 21 февраля 2013 г. N 146</w:t>
      </w:r>
      <w:r w:rsidRPr="000713DA">
        <w:rPr>
          <w:rStyle w:val="a4"/>
          <w:color w:val="auto"/>
        </w:rPr>
        <w:br/>
        <w:t>"О федеральных стандартах оплаты жилого помещения и коммунальных услуг на 2013 - 2015 годы"</w:t>
      </w:r>
      <w:r w:rsidRPr="000713DA">
        <w:rPr>
          <w:color w:val="auto"/>
        </w:rPr>
        <w:fldChar w:fldCharType="end"/>
      </w:r>
    </w:p>
    <w:p w:rsidR="00202AE6" w:rsidRPr="000713DA" w:rsidRDefault="003345D2">
      <w:r w:rsidRPr="000713DA">
        <w:t>Правительство Российской Федерации постановляет:</w:t>
      </w:r>
    </w:p>
    <w:p w:rsidR="00202AE6" w:rsidRPr="000713DA" w:rsidRDefault="003345D2">
      <w:bookmarkStart w:id="0" w:name="sub_1"/>
      <w:r w:rsidRPr="000713DA">
        <w:t>1. Утвердить прилагаемые:</w:t>
      </w:r>
    </w:p>
    <w:bookmarkStart w:id="1" w:name="sub_11"/>
    <w:bookmarkEnd w:id="0"/>
    <w:p w:rsidR="00202AE6" w:rsidRPr="000713DA" w:rsidRDefault="003345D2">
      <w:r w:rsidRPr="000713DA">
        <w:fldChar w:fldCharType="begin"/>
      </w:r>
      <w:r w:rsidRPr="000713DA">
        <w:instrText>HYPERLINK \l "sub_1000"</w:instrText>
      </w:r>
      <w:r w:rsidRPr="000713DA">
        <w:fldChar w:fldCharType="separate"/>
      </w:r>
      <w:r w:rsidRPr="000713DA">
        <w:rPr>
          <w:rStyle w:val="a4"/>
          <w:color w:val="auto"/>
        </w:rPr>
        <w:t>федеральные стандарты</w:t>
      </w:r>
      <w:r w:rsidRPr="000713DA">
        <w:fldChar w:fldCharType="end"/>
      </w:r>
      <w:r w:rsidRPr="000713DA">
        <w:t xml:space="preserve"> оплаты жилого помещения и коммунальных услуг в среднем по Российской Федерации на 2013 - 2015 годы;</w:t>
      </w:r>
    </w:p>
    <w:bookmarkStart w:id="2" w:name="sub_12"/>
    <w:bookmarkEnd w:id="1"/>
    <w:p w:rsidR="00202AE6" w:rsidRPr="000713DA" w:rsidRDefault="003345D2">
      <w:r w:rsidRPr="000713DA">
        <w:fldChar w:fldCharType="begin"/>
      </w:r>
      <w:r w:rsidRPr="000713DA">
        <w:instrText>HYPERLINK \l "sub_2000"</w:instrText>
      </w:r>
      <w:r w:rsidRPr="000713DA">
        <w:fldChar w:fldCharType="separate"/>
      </w:r>
      <w:r w:rsidRPr="000713DA">
        <w:rPr>
          <w:rStyle w:val="a4"/>
          <w:color w:val="auto"/>
        </w:rPr>
        <w:t>федеральные стандарты</w:t>
      </w:r>
      <w:r w:rsidRPr="000713DA">
        <w:fldChar w:fldCharType="end"/>
      </w:r>
      <w:r w:rsidRPr="000713DA">
        <w:t xml:space="preserve"> оплаты жилого помещения и коммунальных услуг по субъектам Российской Федерации на 2013 - 2015 годы.</w:t>
      </w:r>
    </w:p>
    <w:p w:rsidR="00202AE6" w:rsidRPr="000713DA" w:rsidRDefault="003345D2">
      <w:bookmarkStart w:id="3" w:name="sub_2"/>
      <w:bookmarkEnd w:id="2"/>
      <w:r w:rsidRPr="000713DA">
        <w:t xml:space="preserve">2. Признать утратившим силу </w:t>
      </w:r>
      <w:hyperlink r:id="rId4" w:history="1">
        <w:r w:rsidRPr="000713DA">
          <w:rPr>
            <w:rStyle w:val="a4"/>
            <w:color w:val="auto"/>
          </w:rPr>
          <w:t>постановление</w:t>
        </w:r>
      </w:hyperlink>
      <w:r w:rsidRPr="000713DA">
        <w:t xml:space="preserve"> Правительства Российской Федерации от 21 декабря 2011 г. N 1077 "О федеральных стандартах оплаты жилого помещения и коммунальных услуг на 2012 - 2014 годы" (Собрание законодательства Российской Федерации, 2012, N 1, ст. 122).</w:t>
      </w:r>
    </w:p>
    <w:p w:rsidR="00202AE6" w:rsidRPr="000713DA" w:rsidRDefault="003345D2">
      <w:bookmarkStart w:id="4" w:name="sub_3"/>
      <w:bookmarkEnd w:id="3"/>
      <w:r w:rsidRPr="000713DA">
        <w:t>3. Федеральные стандарты, утвержденные настоящим постановлением, подлежат применению к отношениям, возникшим с 1 января 2013 г.</w:t>
      </w:r>
    </w:p>
    <w:bookmarkEnd w:id="4"/>
    <w:p w:rsidR="00202AE6" w:rsidRPr="000713DA" w:rsidRDefault="00202AE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7"/>
        <w:gridCol w:w="3305"/>
      </w:tblGrid>
      <w:tr w:rsidR="000713DA" w:rsidRPr="000713D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f"/>
            </w:pPr>
            <w:r w:rsidRPr="000713DA">
              <w:t>Председатель Правительства</w:t>
            </w:r>
            <w:r w:rsidRPr="000713DA"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right"/>
            </w:pPr>
            <w:r w:rsidRPr="000713DA">
              <w:t>Д. Медведев</w:t>
            </w:r>
          </w:p>
        </w:tc>
      </w:tr>
    </w:tbl>
    <w:p w:rsidR="00202AE6" w:rsidRPr="000713DA" w:rsidRDefault="00202AE6"/>
    <w:p w:rsidR="00202AE6" w:rsidRPr="000713DA" w:rsidRDefault="003345D2">
      <w:r w:rsidRPr="000713DA">
        <w:t>Москва</w:t>
      </w:r>
    </w:p>
    <w:p w:rsidR="00202AE6" w:rsidRPr="000713DA" w:rsidRDefault="003345D2">
      <w:pPr>
        <w:pStyle w:val="afff"/>
      </w:pPr>
      <w:r w:rsidRPr="000713DA">
        <w:t>21 февраля 2013 г. N 146</w:t>
      </w:r>
    </w:p>
    <w:p w:rsidR="00202AE6" w:rsidRPr="000713DA" w:rsidRDefault="00202AE6"/>
    <w:p w:rsidR="00202AE6" w:rsidRPr="000713DA" w:rsidRDefault="003345D2">
      <w:pPr>
        <w:pStyle w:val="1"/>
        <w:rPr>
          <w:color w:val="auto"/>
        </w:rPr>
      </w:pPr>
      <w:bookmarkStart w:id="5" w:name="sub_1000"/>
      <w:r w:rsidRPr="000713DA">
        <w:rPr>
          <w:color w:val="auto"/>
        </w:rPr>
        <w:t>Федеральные стандарты</w:t>
      </w:r>
      <w:r w:rsidRPr="000713DA">
        <w:rPr>
          <w:color w:val="auto"/>
        </w:rPr>
        <w:br/>
        <w:t>оплаты жилого помещения и коммунальных услуг в среднем по Российской Федерации на 2013 - 2015 </w:t>
      </w:r>
      <w:proofErr w:type="gramStart"/>
      <w:r w:rsidRPr="000713DA">
        <w:rPr>
          <w:color w:val="auto"/>
        </w:rPr>
        <w:t>годы</w:t>
      </w:r>
      <w:r w:rsidRPr="000713DA">
        <w:rPr>
          <w:color w:val="auto"/>
        </w:rPr>
        <w:br/>
        <w:t>(</w:t>
      </w:r>
      <w:proofErr w:type="gramEnd"/>
      <w:r w:rsidRPr="000713DA">
        <w:rPr>
          <w:color w:val="auto"/>
        </w:rPr>
        <w:t xml:space="preserve">утв. </w:t>
      </w:r>
      <w:hyperlink w:anchor="sub_0" w:history="1">
        <w:r w:rsidRPr="000713DA">
          <w:rPr>
            <w:rStyle w:val="a4"/>
            <w:color w:val="auto"/>
          </w:rPr>
          <w:t>постановлением</w:t>
        </w:r>
      </w:hyperlink>
      <w:r w:rsidRPr="000713DA">
        <w:rPr>
          <w:color w:val="auto"/>
        </w:rPr>
        <w:t xml:space="preserve"> Правительства РФ от 21 февраля 2013 г. N 146)</w:t>
      </w:r>
    </w:p>
    <w:bookmarkEnd w:id="5"/>
    <w:p w:rsidR="00202AE6" w:rsidRPr="000713DA" w:rsidRDefault="00202A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1680"/>
        <w:gridCol w:w="1680"/>
        <w:gridCol w:w="1680"/>
      </w:tblGrid>
      <w:tr w:rsidR="000713DA" w:rsidRPr="000713DA"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2AE6" w:rsidRPr="000713DA" w:rsidRDefault="003345D2">
            <w:pPr>
              <w:pStyle w:val="aff6"/>
              <w:jc w:val="right"/>
            </w:pPr>
            <w:r w:rsidRPr="000713DA">
              <w:t>(рублей)</w:t>
            </w:r>
          </w:p>
        </w:tc>
      </w:tr>
      <w:tr w:rsidR="000713DA" w:rsidRPr="000713DA"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2AE6" w:rsidRPr="000713DA" w:rsidRDefault="00202AE6">
            <w:pPr>
              <w:pStyle w:val="aff6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2013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2014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2015 год</w:t>
            </w:r>
          </w:p>
        </w:tc>
      </w:tr>
      <w:tr w:rsidR="000713DA" w:rsidRPr="000713DA"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f"/>
            </w:pPr>
            <w:bookmarkStart w:id="6" w:name="sub_100001"/>
            <w:r w:rsidRPr="000713DA">
              <w:t>Федеральный стандарт предельной стоимости предоставляемых жилищно-коммунальных услуг на 1 кв. метр общей площади жилья в месяц</w:t>
            </w:r>
            <w:bookmarkEnd w:id="6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112,9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121,1</w:t>
            </w:r>
          </w:p>
        </w:tc>
      </w:tr>
      <w:tr w:rsidR="00202AE6" w:rsidRPr="000713DA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f"/>
            </w:pPr>
            <w:r w:rsidRPr="000713DA">
              <w:t>Федеральный стандарт стоимости капитального ремонта жилого помещения на 1 кв. метр общей площади жилья в месяц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7,4</w:t>
            </w:r>
          </w:p>
        </w:tc>
      </w:tr>
    </w:tbl>
    <w:p w:rsidR="000713DA" w:rsidRDefault="000713DA"/>
    <w:p w:rsidR="000713DA" w:rsidRDefault="000713DA" w:rsidP="000713DA">
      <w:r>
        <w:br w:type="page"/>
      </w:r>
    </w:p>
    <w:p w:rsidR="00202AE6" w:rsidRPr="000713DA" w:rsidRDefault="003345D2">
      <w:pPr>
        <w:pStyle w:val="1"/>
        <w:rPr>
          <w:color w:val="auto"/>
        </w:rPr>
      </w:pPr>
      <w:bookmarkStart w:id="7" w:name="sub_2000"/>
      <w:r w:rsidRPr="000713DA">
        <w:rPr>
          <w:color w:val="auto"/>
        </w:rPr>
        <w:lastRenderedPageBreak/>
        <w:t>Федеральные стандарты</w:t>
      </w:r>
      <w:r w:rsidRPr="000713DA">
        <w:rPr>
          <w:color w:val="auto"/>
        </w:rPr>
        <w:br/>
        <w:t xml:space="preserve">оплаты жилого помещения и коммунальных услуг по субъектам Российской Федерации на 2013 - 2015 </w:t>
      </w:r>
      <w:proofErr w:type="gramStart"/>
      <w:r w:rsidRPr="000713DA">
        <w:rPr>
          <w:color w:val="auto"/>
        </w:rPr>
        <w:t>годы</w:t>
      </w:r>
      <w:r w:rsidRPr="000713DA">
        <w:rPr>
          <w:color w:val="auto"/>
        </w:rPr>
        <w:br/>
        <w:t>(</w:t>
      </w:r>
      <w:proofErr w:type="gramEnd"/>
      <w:r w:rsidRPr="000713DA">
        <w:rPr>
          <w:color w:val="auto"/>
        </w:rPr>
        <w:t xml:space="preserve">утв. </w:t>
      </w:r>
      <w:hyperlink w:anchor="sub_0" w:history="1">
        <w:r w:rsidRPr="000713DA">
          <w:rPr>
            <w:rStyle w:val="a4"/>
            <w:color w:val="auto"/>
          </w:rPr>
          <w:t>постановлением</w:t>
        </w:r>
      </w:hyperlink>
      <w:r w:rsidRPr="000713DA">
        <w:rPr>
          <w:color w:val="auto"/>
        </w:rPr>
        <w:t xml:space="preserve"> Правительства РФ от 21 февраля 2013 г. N 146)</w:t>
      </w:r>
    </w:p>
    <w:bookmarkEnd w:id="7"/>
    <w:p w:rsidR="00202AE6" w:rsidRPr="000713DA" w:rsidRDefault="00202A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120"/>
        <w:gridCol w:w="1120"/>
        <w:gridCol w:w="980"/>
        <w:gridCol w:w="1260"/>
        <w:gridCol w:w="1120"/>
        <w:gridCol w:w="1120"/>
      </w:tblGrid>
      <w:tr w:rsidR="000713DA" w:rsidRPr="000713DA" w:rsidTr="000713DA">
        <w:tc>
          <w:tcPr>
            <w:tcW w:w="10220" w:type="dxa"/>
            <w:gridSpan w:val="7"/>
            <w:vAlign w:val="center"/>
          </w:tcPr>
          <w:p w:rsidR="00202AE6" w:rsidRPr="000713DA" w:rsidRDefault="003345D2">
            <w:pPr>
              <w:pStyle w:val="aff6"/>
              <w:jc w:val="right"/>
            </w:pPr>
            <w:r w:rsidRPr="000713DA">
              <w:t>(рублей)</w:t>
            </w:r>
          </w:p>
        </w:tc>
      </w:tr>
      <w:tr w:rsidR="000713DA" w:rsidRPr="000713DA" w:rsidTr="000713DA">
        <w:tc>
          <w:tcPr>
            <w:tcW w:w="3500" w:type="dxa"/>
            <w:vMerge w:val="restart"/>
            <w:vAlign w:val="center"/>
          </w:tcPr>
          <w:p w:rsidR="00202AE6" w:rsidRPr="000713DA" w:rsidRDefault="00202AE6">
            <w:pPr>
              <w:pStyle w:val="aff6"/>
            </w:pPr>
          </w:p>
        </w:tc>
        <w:tc>
          <w:tcPr>
            <w:tcW w:w="2240" w:type="dxa"/>
            <w:gridSpan w:val="2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2013 год</w:t>
            </w:r>
          </w:p>
        </w:tc>
        <w:tc>
          <w:tcPr>
            <w:tcW w:w="2240" w:type="dxa"/>
            <w:gridSpan w:val="2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2014 год</w:t>
            </w:r>
          </w:p>
        </w:tc>
        <w:tc>
          <w:tcPr>
            <w:tcW w:w="2240" w:type="dxa"/>
            <w:gridSpan w:val="2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2015 год</w:t>
            </w:r>
          </w:p>
        </w:tc>
      </w:tr>
      <w:tr w:rsidR="000713DA" w:rsidRPr="000713DA" w:rsidTr="000713DA">
        <w:tc>
          <w:tcPr>
            <w:tcW w:w="3500" w:type="dxa"/>
            <w:vMerge/>
            <w:vAlign w:val="center"/>
          </w:tcPr>
          <w:p w:rsidR="00202AE6" w:rsidRPr="000713DA" w:rsidRDefault="00202AE6">
            <w:pPr>
              <w:pStyle w:val="aff6"/>
            </w:pPr>
          </w:p>
        </w:tc>
        <w:tc>
          <w:tcPr>
            <w:tcW w:w="1120" w:type="dxa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ФСС</w:t>
            </w:r>
            <w:hyperlink w:anchor="sub_10001" w:history="1">
              <w:r w:rsidRPr="000713DA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1120" w:type="dxa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ФСКР</w:t>
            </w:r>
            <w:hyperlink w:anchor="sub_10002" w:history="1">
              <w:r w:rsidRPr="000713DA">
                <w:rPr>
                  <w:rStyle w:val="a4"/>
                  <w:color w:val="auto"/>
                </w:rPr>
                <w:t>**</w:t>
              </w:r>
            </w:hyperlink>
          </w:p>
        </w:tc>
        <w:tc>
          <w:tcPr>
            <w:tcW w:w="980" w:type="dxa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ФСС</w:t>
            </w:r>
            <w:hyperlink w:anchor="sub_10001" w:history="1">
              <w:r w:rsidRPr="000713DA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1260" w:type="dxa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ФСКР</w:t>
            </w:r>
            <w:hyperlink w:anchor="sub_10002" w:history="1">
              <w:r w:rsidRPr="000713DA">
                <w:rPr>
                  <w:rStyle w:val="a4"/>
                  <w:color w:val="auto"/>
                </w:rPr>
                <w:t>**</w:t>
              </w:r>
            </w:hyperlink>
          </w:p>
        </w:tc>
        <w:tc>
          <w:tcPr>
            <w:tcW w:w="1120" w:type="dxa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ФСС</w:t>
            </w:r>
            <w:hyperlink w:anchor="sub_10001" w:history="1">
              <w:r w:rsidRPr="000713DA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1120" w:type="dxa"/>
            <w:vAlign w:val="center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ФСКР</w:t>
            </w:r>
            <w:hyperlink w:anchor="sub_10002" w:history="1">
              <w:r w:rsidRPr="000713DA">
                <w:rPr>
                  <w:rStyle w:val="a4"/>
                  <w:color w:val="auto"/>
                </w:rPr>
                <w:t>**</w:t>
              </w:r>
            </w:hyperlink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Центральный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Белгородская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Брянская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71,8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82,6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Владимирская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95,9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Воронежская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74,6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80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Ивановская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110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Калужская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Костромская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75,7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81,2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87,1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Курская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73,8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Липецкая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74,7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80,1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Московская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136,6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146,5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Орловская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Рязанская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81,1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93,3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Смоленская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81,8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87,8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94,2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Тамбовская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84,5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90,7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Тверская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Тульская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Ярославская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88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94,4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Город Москва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157,7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169,2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Северо-Западный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Карелия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100,9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108,2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116,1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Коми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122,7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5,7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131,6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141,2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Архангельская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118,1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5,7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126,7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135,9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Вологодская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84,5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90,7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Калининградская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82,9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88,9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Ленинградская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100,1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7,4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107,4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Мурманская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136,9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7,4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146,9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157,6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Новгородская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143,4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153,8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165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Псковская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74,1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Город Санкт-Петербург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113,2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8,7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Южный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Адыгея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77,9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83,6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Калмыкия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61,8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66,3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71,1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Краснодарский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65,8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70,6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75,7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Астраханская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97,6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104,7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Волгоградская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92,7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99,5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Ростовская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97,8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proofErr w:type="gramStart"/>
            <w:r w:rsidRPr="000713DA">
              <w:rPr>
                <w:color w:val="auto"/>
              </w:rPr>
              <w:lastRenderedPageBreak/>
              <w:t>Северо-Кавказский</w:t>
            </w:r>
            <w:proofErr w:type="gramEnd"/>
            <w:r w:rsidRPr="000713DA">
              <w:rPr>
                <w:color w:val="auto"/>
              </w:rPr>
              <w:t xml:space="preserve">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Дагестан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61,6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66,1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70,9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Ингушетия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56,4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60,5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64,9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5,8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Кабардино-Балкарская Республика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59,3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63,6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Карачаево-Черкесская Республика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Северная Осетия - Алания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64,2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68,9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73,9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Чеченская Республика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59,2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63,5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Ставропольский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103,3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110,8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Приволжский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Башкортостан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72,9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83,9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Марий Эл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Мордовия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77,4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Татарстан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101,5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108,9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116,8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Удмуртская Республика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83,8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Чувашская Республика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Пермский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Кировская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85,4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Нижегородская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113,6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121,9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Оренбургская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89,1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Пензенская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68,4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73,4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Самарская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Саратовская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74,1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Ульяновская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71,4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76,6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82,2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Уральский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Курганская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72,8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83,8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Свердловская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5,7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Тюменская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74,6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80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Челябинская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79,2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Ханты-Мансийский автономный округ - Югра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10,4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123,4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132,4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Ямало-Ненецкий автономный округ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181,9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195,1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209,3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10,5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Сибирский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Алтай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112,9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121,1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129,9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Бурятия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112,8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Тыва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91,2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97,8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Хакасия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4,8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83,9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90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5,5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Алтайский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80,3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86,1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92,4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Забайкальский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109,5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Красноярский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97,7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5,9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104,8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112,4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Иркутская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93,3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100,1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Кемеровская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80,3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86,1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92,4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lastRenderedPageBreak/>
              <w:t>Новосибирская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98,5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105,7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113,4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Омская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88,3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94,7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101,6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Томская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95,7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102,7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110,2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</w:tr>
      <w:tr w:rsidR="000713DA" w:rsidRPr="000713DA" w:rsidTr="000713DA">
        <w:tc>
          <w:tcPr>
            <w:tcW w:w="10220" w:type="dxa"/>
            <w:gridSpan w:val="7"/>
          </w:tcPr>
          <w:p w:rsidR="00202AE6" w:rsidRPr="000713DA" w:rsidRDefault="003345D2">
            <w:pPr>
              <w:pStyle w:val="1"/>
              <w:rPr>
                <w:color w:val="auto"/>
              </w:rPr>
            </w:pPr>
            <w:r w:rsidRPr="000713DA">
              <w:rPr>
                <w:color w:val="auto"/>
              </w:rPr>
              <w:t>Дальневосточный федеральный округ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Республика Саха (Якутия)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262,9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282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302,5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Камчатский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308,6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12,2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331,1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13,1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355,2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Приморский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112,8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129,8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Хабаровский край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143,8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154,3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165,5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8,1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Амурская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145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155,6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7,1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166,9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Магаданская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257,4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276,1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296,2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8,7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Сахалинская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168,2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180,4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9,7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193,5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10,3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Еврейская автономная область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106,5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6,8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114,3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7,3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122,6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7,8</w:t>
            </w:r>
          </w:p>
        </w:tc>
      </w:tr>
      <w:tr w:rsidR="000713DA" w:rsidRPr="000713DA" w:rsidTr="000713DA">
        <w:tc>
          <w:tcPr>
            <w:tcW w:w="3500" w:type="dxa"/>
          </w:tcPr>
          <w:p w:rsidR="00202AE6" w:rsidRPr="000713DA" w:rsidRDefault="003345D2">
            <w:pPr>
              <w:pStyle w:val="afff"/>
            </w:pPr>
            <w:r w:rsidRPr="000713DA">
              <w:t>Чукотский автономный округ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314,7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7,6</w:t>
            </w:r>
          </w:p>
        </w:tc>
        <w:tc>
          <w:tcPr>
            <w:tcW w:w="98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337,6</w:t>
            </w:r>
          </w:p>
        </w:tc>
        <w:tc>
          <w:tcPr>
            <w:tcW w:w="126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362,2</w:t>
            </w:r>
          </w:p>
        </w:tc>
        <w:tc>
          <w:tcPr>
            <w:tcW w:w="1120" w:type="dxa"/>
          </w:tcPr>
          <w:p w:rsidR="00202AE6" w:rsidRPr="000713DA" w:rsidRDefault="003345D2">
            <w:pPr>
              <w:pStyle w:val="aff6"/>
              <w:jc w:val="center"/>
            </w:pPr>
            <w:r w:rsidRPr="000713DA">
              <w:t>8,7</w:t>
            </w:r>
          </w:p>
        </w:tc>
      </w:tr>
    </w:tbl>
    <w:p w:rsidR="00202AE6" w:rsidRPr="000713DA" w:rsidRDefault="00202AE6"/>
    <w:p w:rsidR="00202AE6" w:rsidRPr="000713DA" w:rsidRDefault="003345D2">
      <w:r w:rsidRPr="000713DA">
        <w:t>_____________________________</w:t>
      </w:r>
    </w:p>
    <w:p w:rsidR="00202AE6" w:rsidRPr="000713DA" w:rsidRDefault="003345D2">
      <w:bookmarkStart w:id="8" w:name="sub_10001"/>
      <w:r w:rsidRPr="000713DA">
        <w:t>* ФСС - федеральный стандарт предельной стоимости предоставляемых жилищно-коммунальных услуг на 1 кв. метр общей площади жилья в месяц.</w:t>
      </w:r>
    </w:p>
    <w:p w:rsidR="00202AE6" w:rsidRPr="000713DA" w:rsidRDefault="003345D2">
      <w:bookmarkStart w:id="9" w:name="sub_10002"/>
      <w:bookmarkEnd w:id="8"/>
      <w:r w:rsidRPr="000713DA">
        <w:t>** ФСКР - федеральный стандарт стоимости капитального ремонта жилого помещения на 1 кв. метр общей площади жилья в месяц.</w:t>
      </w:r>
    </w:p>
    <w:p w:rsidR="003345D2" w:rsidRPr="000713DA" w:rsidRDefault="003345D2">
      <w:bookmarkStart w:id="10" w:name="_GoBack"/>
      <w:bookmarkEnd w:id="9"/>
      <w:bookmarkEnd w:id="10"/>
    </w:p>
    <w:sectPr w:rsidR="003345D2" w:rsidRPr="000713D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29"/>
    <w:rsid w:val="000713DA"/>
    <w:rsid w:val="00202AE6"/>
    <w:rsid w:val="003345D2"/>
    <w:rsid w:val="0052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B91BEA-449F-406A-A2D1-2AA1CC67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01105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User2</cp:lastModifiedBy>
  <cp:revision>3</cp:revision>
  <dcterms:created xsi:type="dcterms:W3CDTF">2014-10-10T07:47:00Z</dcterms:created>
  <dcterms:modified xsi:type="dcterms:W3CDTF">2014-10-10T07:49:00Z</dcterms:modified>
</cp:coreProperties>
</file>